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4E2FB" w14:textId="77777777" w:rsidR="00DF513F" w:rsidRDefault="00012701">
      <w:pPr>
        <w:rPr>
          <w:rFonts w:ascii="Oswald Medium" w:eastAsia="Oswald Medium" w:hAnsi="Oswald Medium" w:cs="Oswald Medium"/>
          <w:color w:val="674EA7"/>
          <w:sz w:val="40"/>
          <w:szCs w:val="40"/>
        </w:rPr>
      </w:pPr>
      <w:r>
        <w:rPr>
          <w:rFonts w:ascii="Oswald Medium" w:eastAsia="Oswald Medium" w:hAnsi="Oswald Medium" w:cs="Oswald Medium"/>
          <w:noProof/>
          <w:color w:val="674EA7"/>
          <w:sz w:val="40"/>
          <w:szCs w:val="40"/>
        </w:rPr>
        <w:drawing>
          <wp:anchor distT="0" distB="114300" distL="114300" distR="114300" simplePos="0" relativeHeight="251658240" behindDoc="1" locked="0" layoutInCell="1" hidden="0" allowOverlap="1" wp14:anchorId="56BFE937" wp14:editId="1B62C2BE">
            <wp:simplePos x="0" y="0"/>
            <wp:positionH relativeFrom="page">
              <wp:posOffset>0</wp:posOffset>
            </wp:positionH>
            <wp:positionV relativeFrom="page">
              <wp:posOffset>0</wp:posOffset>
            </wp:positionV>
            <wp:extent cx="7560000" cy="1073520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560000" cy="10735200"/>
                    </a:xfrm>
                    <a:prstGeom prst="rect">
                      <a:avLst/>
                    </a:prstGeom>
                    <a:ln/>
                  </pic:spPr>
                </pic:pic>
              </a:graphicData>
            </a:graphic>
          </wp:anchor>
        </w:drawing>
      </w:r>
    </w:p>
    <w:p w14:paraId="5174A52D" w14:textId="77777777" w:rsidR="00DF513F" w:rsidRDefault="00DF513F">
      <w:pPr>
        <w:rPr>
          <w:rFonts w:ascii="Oswald Medium" w:eastAsia="Oswald Medium" w:hAnsi="Oswald Medium" w:cs="Oswald Medium"/>
          <w:color w:val="674EA7"/>
          <w:sz w:val="40"/>
          <w:szCs w:val="40"/>
        </w:rPr>
      </w:pPr>
    </w:p>
    <w:p w14:paraId="02F1A211" w14:textId="77777777" w:rsidR="00DF513F" w:rsidRDefault="00DF513F">
      <w:pPr>
        <w:rPr>
          <w:rFonts w:ascii="Oswald Medium" w:eastAsia="Oswald Medium" w:hAnsi="Oswald Medium" w:cs="Oswald Medium"/>
          <w:color w:val="674EA7"/>
          <w:sz w:val="40"/>
          <w:szCs w:val="40"/>
        </w:rPr>
      </w:pPr>
    </w:p>
    <w:p w14:paraId="0AE31D2D" w14:textId="77777777" w:rsidR="00DF513F" w:rsidRDefault="00DF513F">
      <w:pPr>
        <w:rPr>
          <w:rFonts w:ascii="Oswald Medium" w:eastAsia="Oswald Medium" w:hAnsi="Oswald Medium" w:cs="Oswald Medium"/>
          <w:color w:val="674EA7"/>
          <w:sz w:val="40"/>
          <w:szCs w:val="40"/>
        </w:rPr>
      </w:pPr>
    </w:p>
    <w:p w14:paraId="45E30744" w14:textId="77777777" w:rsidR="00DF513F" w:rsidRDefault="00DF513F">
      <w:pPr>
        <w:rPr>
          <w:rFonts w:ascii="Oswald Medium" w:eastAsia="Oswald Medium" w:hAnsi="Oswald Medium" w:cs="Oswald Medium"/>
          <w:color w:val="674EA7"/>
          <w:sz w:val="40"/>
          <w:szCs w:val="40"/>
        </w:rPr>
      </w:pPr>
    </w:p>
    <w:tbl>
      <w:tblPr>
        <w:tblStyle w:val="a"/>
        <w:tblpPr w:leftFromText="180" w:rightFromText="180" w:topFromText="180" w:bottomFromText="180" w:vertAnchor="text" w:tblpX="1079"/>
        <w:tblW w:w="7485" w:type="dxa"/>
        <w:tblInd w:w="0" w:type="dxa"/>
        <w:tblLayout w:type="fixed"/>
        <w:tblLook w:val="0600" w:firstRow="0" w:lastRow="0" w:firstColumn="0" w:lastColumn="0" w:noHBand="1" w:noVBand="1"/>
      </w:tblPr>
      <w:tblGrid>
        <w:gridCol w:w="7485"/>
      </w:tblGrid>
      <w:tr w:rsidR="00DF513F" w14:paraId="7B9D169F" w14:textId="77777777">
        <w:tc>
          <w:tcPr>
            <w:tcW w:w="7485" w:type="dxa"/>
          </w:tcPr>
          <w:p w14:paraId="0FC109AE" w14:textId="38B1667B" w:rsidR="00DF513F" w:rsidRDefault="00906F68">
            <w:pPr>
              <w:spacing w:line="240" w:lineRule="auto"/>
              <w:jc w:val="center"/>
              <w:rPr>
                <w:rFonts w:ascii="Oswald" w:eastAsia="Oswald" w:hAnsi="Oswald" w:cs="Oswald"/>
                <w:b/>
                <w:bCs/>
                <w:color w:val="FFFFFF"/>
                <w:sz w:val="100"/>
                <w:szCs w:val="100"/>
              </w:rPr>
            </w:pPr>
            <w:r>
              <w:rPr>
                <w:rFonts w:ascii="Oswald" w:eastAsia="Oswald" w:hAnsi="Oswald" w:cs="Oswald"/>
                <w:b/>
                <w:bCs/>
                <w:color w:val="FFFFFF"/>
                <w:sz w:val="100"/>
                <w:szCs w:val="100"/>
              </w:rPr>
              <w:t>PROGRAMA DE TRANSPARENCIA Y ÉTICA PÚBLICA 2026</w:t>
            </w:r>
          </w:p>
        </w:tc>
      </w:tr>
    </w:tbl>
    <w:p w14:paraId="5479DDBA" w14:textId="77777777" w:rsidR="00DF513F" w:rsidRDefault="00DF513F">
      <w:pPr>
        <w:rPr>
          <w:rFonts w:ascii="Oswald Medium" w:eastAsia="Oswald Medium" w:hAnsi="Oswald Medium" w:cs="Oswald Medium"/>
          <w:color w:val="674EA7"/>
          <w:sz w:val="40"/>
          <w:szCs w:val="40"/>
        </w:rPr>
      </w:pPr>
    </w:p>
    <w:p w14:paraId="623C0E19" w14:textId="77777777" w:rsidR="00DF513F" w:rsidRDefault="00DF513F">
      <w:pPr>
        <w:rPr>
          <w:rFonts w:ascii="Oswald Medium" w:eastAsia="Oswald Medium" w:hAnsi="Oswald Medium" w:cs="Oswald Medium"/>
          <w:color w:val="674EA7"/>
          <w:sz w:val="40"/>
          <w:szCs w:val="40"/>
        </w:rPr>
      </w:pPr>
    </w:p>
    <w:p w14:paraId="34F5B3A4" w14:textId="77777777" w:rsidR="00DF513F" w:rsidRDefault="00DF513F">
      <w:pPr>
        <w:rPr>
          <w:rFonts w:ascii="Oswald Medium" w:eastAsia="Oswald Medium" w:hAnsi="Oswald Medium" w:cs="Oswald Medium"/>
          <w:color w:val="674EA7"/>
          <w:sz w:val="40"/>
          <w:szCs w:val="40"/>
        </w:rPr>
      </w:pPr>
    </w:p>
    <w:p w14:paraId="50F97D42" w14:textId="77777777" w:rsidR="00DF513F" w:rsidRDefault="00DF513F">
      <w:pPr>
        <w:rPr>
          <w:rFonts w:ascii="Oswald Medium" w:eastAsia="Oswald Medium" w:hAnsi="Oswald Medium" w:cs="Oswald Medium"/>
          <w:color w:val="674EA7"/>
          <w:sz w:val="40"/>
          <w:szCs w:val="40"/>
        </w:rPr>
      </w:pPr>
    </w:p>
    <w:p w14:paraId="0E472F49" w14:textId="77777777" w:rsidR="00DF513F" w:rsidRDefault="00DF513F">
      <w:pPr>
        <w:rPr>
          <w:rFonts w:ascii="Oswald Medium" w:eastAsia="Oswald Medium" w:hAnsi="Oswald Medium" w:cs="Oswald Medium"/>
          <w:color w:val="674EA7"/>
          <w:sz w:val="40"/>
          <w:szCs w:val="40"/>
        </w:rPr>
      </w:pPr>
    </w:p>
    <w:p w14:paraId="5BEDC2FB" w14:textId="77777777" w:rsidR="00DF513F" w:rsidRDefault="00DF513F">
      <w:pPr>
        <w:rPr>
          <w:rFonts w:ascii="Oswald Medium" w:eastAsia="Oswald Medium" w:hAnsi="Oswald Medium" w:cs="Oswald Medium"/>
          <w:color w:val="674EA7"/>
          <w:sz w:val="40"/>
          <w:szCs w:val="40"/>
        </w:rPr>
      </w:pPr>
    </w:p>
    <w:p w14:paraId="4B5E119E" w14:textId="77777777" w:rsidR="00DF513F" w:rsidRDefault="00DF513F">
      <w:pPr>
        <w:rPr>
          <w:rFonts w:ascii="Oswald Medium" w:eastAsia="Oswald Medium" w:hAnsi="Oswald Medium" w:cs="Oswald Medium"/>
          <w:color w:val="674EA7"/>
          <w:sz w:val="40"/>
          <w:szCs w:val="40"/>
        </w:rPr>
      </w:pPr>
    </w:p>
    <w:p w14:paraId="72D6AC98" w14:textId="77777777" w:rsidR="00DF513F" w:rsidRDefault="00DF513F">
      <w:pPr>
        <w:rPr>
          <w:rFonts w:ascii="Oswald Medium" w:eastAsia="Oswald Medium" w:hAnsi="Oswald Medium" w:cs="Oswald Medium"/>
          <w:color w:val="674EA7"/>
          <w:sz w:val="40"/>
          <w:szCs w:val="40"/>
        </w:rPr>
      </w:pPr>
    </w:p>
    <w:p w14:paraId="30A82706" w14:textId="77777777" w:rsidR="00DF513F" w:rsidRDefault="00DF513F">
      <w:pPr>
        <w:rPr>
          <w:rFonts w:ascii="Oswald Medium" w:eastAsia="Oswald Medium" w:hAnsi="Oswald Medium" w:cs="Oswald Medium"/>
          <w:color w:val="674EA7"/>
          <w:sz w:val="40"/>
          <w:szCs w:val="40"/>
        </w:rPr>
      </w:pPr>
    </w:p>
    <w:p w14:paraId="3DEDE8EC" w14:textId="77777777" w:rsidR="00DF513F" w:rsidRDefault="00DF513F">
      <w:pPr>
        <w:rPr>
          <w:rFonts w:ascii="Oswald Medium" w:eastAsia="Oswald Medium" w:hAnsi="Oswald Medium" w:cs="Oswald Medium"/>
          <w:color w:val="674EA7"/>
          <w:sz w:val="40"/>
          <w:szCs w:val="40"/>
        </w:rPr>
      </w:pPr>
    </w:p>
    <w:p w14:paraId="6B0D741B" w14:textId="77777777" w:rsidR="00DF513F" w:rsidRDefault="00DF513F">
      <w:pPr>
        <w:rPr>
          <w:rFonts w:ascii="Oswald Medium" w:eastAsia="Oswald Medium" w:hAnsi="Oswald Medium" w:cs="Oswald Medium"/>
          <w:color w:val="674EA7"/>
          <w:sz w:val="40"/>
          <w:szCs w:val="40"/>
        </w:rPr>
      </w:pPr>
    </w:p>
    <w:p w14:paraId="7E2C2FDC" w14:textId="77777777" w:rsidR="00DF513F" w:rsidRDefault="00DF513F">
      <w:pPr>
        <w:rPr>
          <w:rFonts w:ascii="Oswald Medium" w:eastAsia="Oswald Medium" w:hAnsi="Oswald Medium" w:cs="Oswald Medium"/>
          <w:color w:val="674EA7"/>
          <w:sz w:val="40"/>
          <w:szCs w:val="40"/>
        </w:rPr>
      </w:pPr>
    </w:p>
    <w:p w14:paraId="0034F519" w14:textId="77777777" w:rsidR="00DF513F" w:rsidRDefault="00DF513F">
      <w:pPr>
        <w:rPr>
          <w:rFonts w:ascii="Oswald Medium" w:eastAsia="Oswald Medium" w:hAnsi="Oswald Medium" w:cs="Oswald Medium"/>
          <w:color w:val="674EA7"/>
          <w:sz w:val="40"/>
          <w:szCs w:val="40"/>
        </w:rPr>
      </w:pPr>
    </w:p>
    <w:p w14:paraId="0AAB8266" w14:textId="77777777" w:rsidR="00DF513F" w:rsidRDefault="00DF513F">
      <w:pPr>
        <w:rPr>
          <w:rFonts w:ascii="Oswald Medium" w:eastAsia="Oswald Medium" w:hAnsi="Oswald Medium" w:cs="Oswald Medium"/>
          <w:color w:val="674EA7"/>
          <w:sz w:val="40"/>
          <w:szCs w:val="40"/>
        </w:rPr>
      </w:pPr>
    </w:p>
    <w:p w14:paraId="70B62D03" w14:textId="1C687D52" w:rsidR="00DF513F" w:rsidRDefault="00906F68">
      <w:pPr>
        <w:rPr>
          <w:rFonts w:ascii="Oswald Medium" w:eastAsia="Oswald Medium" w:hAnsi="Oswald Medium" w:cs="Oswald Medium"/>
          <w:color w:val="674EA7"/>
          <w:sz w:val="40"/>
          <w:szCs w:val="40"/>
        </w:rPr>
      </w:pPr>
      <w:r>
        <w:rPr>
          <w:rFonts w:ascii="Oswald Medium" w:eastAsia="Oswald Medium" w:hAnsi="Oswald Medium" w:cs="Oswald Medium"/>
          <w:color w:val="674EA7"/>
          <w:sz w:val="40"/>
          <w:szCs w:val="40"/>
        </w:rPr>
        <w:lastRenderedPageBreak/>
        <w:t>Introducción</w:t>
      </w:r>
    </w:p>
    <w:p w14:paraId="64CACD8F" w14:textId="77777777" w:rsidR="00906F68" w:rsidRDefault="00906F68" w:rsidP="00906F68">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El Programa de Transparencia y Ética Pública – PTEP constituye una herramienta estratégica esencial para que las entidades públicas en Colombia incrementen la transparencia, protejan los recursos públicos y garanticen los derechos de los ciudadanos, a través de la construcción de una cultura de integridad institucional que permita la misionalidad atender efectivamente las necesidades de la ciudadanía.</w:t>
      </w:r>
    </w:p>
    <w:p w14:paraId="33972D8E" w14:textId="77777777" w:rsidR="00906F68" w:rsidRPr="00906F68" w:rsidRDefault="00906F68" w:rsidP="00906F68">
      <w:pPr>
        <w:jc w:val="both"/>
        <w:rPr>
          <w:rFonts w:ascii="Lexend Light" w:eastAsia="Lexend Light" w:hAnsi="Lexend Light" w:cs="Lexend Light"/>
          <w:sz w:val="20"/>
          <w:szCs w:val="20"/>
        </w:rPr>
      </w:pPr>
    </w:p>
    <w:p w14:paraId="533CCBE0" w14:textId="77777777" w:rsidR="00906F68" w:rsidRDefault="00906F68" w:rsidP="00906F68">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La corrupción, entendida como el acto de "usar el poder para desviar la gestión de lo público hacia el beneficio privado", es una práctica que atenta directamente contra la garantía de los derechos humanos y fundamentales. Cada recurso desviado es una oportunidad perdida para mejorar la calidad de vida de los más necesitados que disminuye los niveles de confianza en el Estado. El Programa de Transparencia y Ética Pública (PTEP) es la respuesta metodológica y estratégica del Estado colombiano al desafío sistémico de la corrupción, el cual ha sido diseñado como un programa estratégico para blindar la misionalidad de las entidades públicas. Más allá de la conformidad normativa, el PTEP es una inversión en el capital reputacional de la entidad y un pilar para la sostenibilidad de su misión a largo plazo, promoviendo una cultura de legalidad y fortaleciendo los mecanismos de control interno para proteger los recursos y la confianza de las ciudadanías.</w:t>
      </w:r>
    </w:p>
    <w:p w14:paraId="3899762B" w14:textId="77777777" w:rsidR="00906F68" w:rsidRPr="00906F68" w:rsidRDefault="00906F68" w:rsidP="00906F68">
      <w:pPr>
        <w:jc w:val="both"/>
        <w:rPr>
          <w:rFonts w:ascii="Lexend Light" w:eastAsia="Lexend Light" w:hAnsi="Lexend Light" w:cs="Lexend Light"/>
          <w:sz w:val="20"/>
          <w:szCs w:val="20"/>
        </w:rPr>
      </w:pPr>
    </w:p>
    <w:p w14:paraId="17E9CFE2" w14:textId="1DEE62B1" w:rsidR="00DF513F" w:rsidRDefault="00906F68" w:rsidP="00906F68">
      <w:pPr>
        <w:jc w:val="both"/>
        <w:rPr>
          <w:rFonts w:ascii="Lexend Light" w:eastAsia="Lexend Light" w:hAnsi="Lexend Light" w:cs="Lexend Light"/>
          <w:sz w:val="20"/>
          <w:szCs w:val="20"/>
        </w:rPr>
      </w:pPr>
      <w:r>
        <w:rPr>
          <w:rFonts w:ascii="Lexend Light" w:eastAsia="Lexend Light" w:hAnsi="Lexend Light" w:cs="Lexend Light"/>
          <w:sz w:val="20"/>
          <w:szCs w:val="20"/>
        </w:rPr>
        <w:t xml:space="preserve">En la Fundación Gilberto </w:t>
      </w:r>
      <w:proofErr w:type="spellStart"/>
      <w:r>
        <w:rPr>
          <w:rFonts w:ascii="Lexend Light" w:eastAsia="Lexend Light" w:hAnsi="Lexend Light" w:cs="Lexend Light"/>
          <w:sz w:val="20"/>
          <w:szCs w:val="20"/>
        </w:rPr>
        <w:t>Alzate</w:t>
      </w:r>
      <w:proofErr w:type="spellEnd"/>
      <w:r>
        <w:rPr>
          <w:rFonts w:ascii="Lexend Light" w:eastAsia="Lexend Light" w:hAnsi="Lexend Light" w:cs="Lexend Light"/>
          <w:sz w:val="20"/>
          <w:szCs w:val="20"/>
        </w:rPr>
        <w:t xml:space="preserve"> Avendaño - FUGA se ha</w:t>
      </w:r>
      <w:r w:rsidRPr="00906F68">
        <w:rPr>
          <w:rFonts w:ascii="Lexend Light" w:eastAsia="Lexend Light" w:hAnsi="Lexend Light" w:cs="Lexend Light"/>
          <w:sz w:val="20"/>
          <w:szCs w:val="20"/>
        </w:rPr>
        <w:t xml:space="preserve"> </w:t>
      </w:r>
      <w:r>
        <w:rPr>
          <w:rFonts w:ascii="Lexend Light" w:eastAsia="Lexend Light" w:hAnsi="Lexend Light" w:cs="Lexend Light"/>
          <w:sz w:val="20"/>
          <w:szCs w:val="20"/>
        </w:rPr>
        <w:t xml:space="preserve">definido el PTEP </w:t>
      </w:r>
      <w:r w:rsidRPr="00906F68">
        <w:rPr>
          <w:rFonts w:ascii="Lexend Light" w:eastAsia="Lexend Light" w:hAnsi="Lexend Light" w:cs="Lexend Light"/>
          <w:sz w:val="20"/>
          <w:szCs w:val="20"/>
        </w:rPr>
        <w:t xml:space="preserve">para articularse e integrarse con las políticas y sistemas de gestión ya existentes en </w:t>
      </w:r>
      <w:r>
        <w:rPr>
          <w:rFonts w:ascii="Lexend Light" w:eastAsia="Lexend Light" w:hAnsi="Lexend Light" w:cs="Lexend Light"/>
          <w:sz w:val="20"/>
          <w:szCs w:val="20"/>
        </w:rPr>
        <w:t>la</w:t>
      </w:r>
      <w:r w:rsidRPr="00906F68">
        <w:rPr>
          <w:rFonts w:ascii="Lexend Light" w:eastAsia="Lexend Light" w:hAnsi="Lexend Light" w:cs="Lexend Light"/>
          <w:sz w:val="20"/>
          <w:szCs w:val="20"/>
        </w:rPr>
        <w:t xml:space="preserve"> entidad. Específicamente, el PTEP no opera en paralelo, sino que actúa como un marco de referencia que abarca e integra los componentes del Modelo Integrado de Planeación y Gestión (MIPG), ordenando su cumplimiento bajo una lente de integridad. De este modo, permite aterrizar en </w:t>
      </w:r>
      <w:r>
        <w:rPr>
          <w:rFonts w:ascii="Lexend Light" w:eastAsia="Lexend Light" w:hAnsi="Lexend Light" w:cs="Lexend Light"/>
          <w:sz w:val="20"/>
          <w:szCs w:val="20"/>
        </w:rPr>
        <w:t xml:space="preserve">las </w:t>
      </w:r>
      <w:r w:rsidRPr="00906F68">
        <w:rPr>
          <w:rFonts w:ascii="Lexend Light" w:eastAsia="Lexend Light" w:hAnsi="Lexend Light" w:cs="Lexend Light"/>
          <w:sz w:val="20"/>
          <w:szCs w:val="20"/>
        </w:rPr>
        <w:t>dinámicas internas las obligaciones legales en materia de transparencia y ética, de una forma coherente y organizada</w:t>
      </w:r>
      <w:r>
        <w:rPr>
          <w:rFonts w:ascii="Lexend Light" w:eastAsia="Lexend Light" w:hAnsi="Lexend Light" w:cs="Lexend Light"/>
          <w:sz w:val="20"/>
          <w:szCs w:val="20"/>
        </w:rPr>
        <w:t>.</w:t>
      </w:r>
    </w:p>
    <w:p w14:paraId="7FD8C8C5" w14:textId="77777777" w:rsidR="00DF513F" w:rsidRDefault="00DF513F"/>
    <w:p w14:paraId="3A9B2C32" w14:textId="42BB2D98" w:rsidR="00DF513F" w:rsidRDefault="00906F68">
      <w:pPr>
        <w:rPr>
          <w:rFonts w:ascii="Oswald Medium" w:eastAsia="Oswald Medium" w:hAnsi="Oswald Medium" w:cs="Oswald Medium"/>
          <w:color w:val="674EA7"/>
          <w:sz w:val="40"/>
          <w:szCs w:val="40"/>
        </w:rPr>
      </w:pPr>
      <w:r>
        <w:rPr>
          <w:rFonts w:ascii="Oswald Medium" w:eastAsia="Oswald Medium" w:hAnsi="Oswald Medium" w:cs="Oswald Medium"/>
          <w:color w:val="674EA7"/>
          <w:sz w:val="40"/>
          <w:szCs w:val="40"/>
        </w:rPr>
        <w:t>Marco Legal</w:t>
      </w:r>
    </w:p>
    <w:p w14:paraId="63E08AE4" w14:textId="77777777" w:rsidR="002729AE" w:rsidRDefault="002729AE"/>
    <w:p w14:paraId="10486F06" w14:textId="77777777" w:rsidR="00906F68" w:rsidRPr="00906F68" w:rsidRDefault="00906F68" w:rsidP="00906F68">
      <w:pPr>
        <w:pStyle w:val="Prrafodelista"/>
        <w:numPr>
          <w:ilvl w:val="0"/>
          <w:numId w:val="3"/>
        </w:numPr>
        <w:rPr>
          <w:rFonts w:ascii="Lexend Light" w:eastAsia="Lexend Light" w:hAnsi="Lexend Light" w:cs="Lexend Light"/>
          <w:sz w:val="20"/>
          <w:szCs w:val="20"/>
        </w:rPr>
      </w:pPr>
      <w:bookmarkStart w:id="0" w:name="_wpkjwla1a99j" w:colFirst="0" w:colLast="0"/>
      <w:bookmarkEnd w:id="0"/>
      <w:r w:rsidRPr="00906F68">
        <w:rPr>
          <w:rFonts w:ascii="Lexend Light" w:eastAsia="Lexend Light" w:hAnsi="Lexend Light" w:cs="Lexend Light"/>
          <w:sz w:val="20"/>
          <w:szCs w:val="20"/>
        </w:rPr>
        <w:t xml:space="preserve">Ley 1474 de 2011 (Estatuto Anticorrupción, Art. 73): Norma base que dicta disposiciones para fortalecer la prevención, investigación y sanción de actos de corrupción. </w:t>
      </w:r>
    </w:p>
    <w:p w14:paraId="45D7E95C" w14:textId="5B1163CA"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 xml:space="preserve">Ley 2195 de 2022: Modifica el artículo 73 de la Ley 1474 y establece formalmente el deber de las entidades públicas de implementar los PTEP. </w:t>
      </w:r>
    </w:p>
    <w:p w14:paraId="07204066" w14:textId="0013A2C8"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Ley 1712 de 2014 (Ley de Transparencia y del Derecho de Acceso a la Información Pública): Define los principios de transparencia activa y pasiva, así como los sujetos obligados a entregar información al ciudadano.</w:t>
      </w:r>
    </w:p>
    <w:p w14:paraId="7B533196" w14:textId="0C587979"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Ley 2016 de 2020: Adopta el Código de Integridad del Servicio Público Colombiano, el cual es un instrumento obligatorio dentro de los programas para promover valores éticos en los servidores.</w:t>
      </w:r>
    </w:p>
    <w:p w14:paraId="41A251F6" w14:textId="3938CDE2"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Ley 2013 de 2019: Establece la obligatoriedad de publicar las declaraciones de bienes y rentas, así como el registro de conflictos de interés.</w:t>
      </w:r>
    </w:p>
    <w:p w14:paraId="0B2F179F" w14:textId="533F1DB4"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Ley 1757 de 2015: Dicta disposiciones sobre la promoción y protección del derecho a la participación democrática, fundamental para el control social.</w:t>
      </w:r>
    </w:p>
    <w:p w14:paraId="28A9ECA7" w14:textId="37635869"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Decreto 1122 de 2024: Reglamenta específicamente la implementación de los PTEP, definiendo que la Secretaría de Transparencia de la Presidencia es la encargada de señalar los estándares y requisitos mínimos mediante un Anexo Técnico.</w:t>
      </w:r>
    </w:p>
    <w:p w14:paraId="19E89DDC" w14:textId="79437BB3"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lastRenderedPageBreak/>
        <w:t>Decreto 1499 de 2017: Modifica el Decreto Único del Sector Función Pública para integrar las políticas de gestión al Modelo Integrado de Planeación y Gestión (MIPG), con el cual deben articularse los programas.</w:t>
      </w:r>
    </w:p>
    <w:p w14:paraId="0BFCB693" w14:textId="2CED6DC7"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Resolución 1519 de 2020 (MinTIC): Define los estándares de publicación y divulgación de la información en las sedes electrónicas de las entidades.</w:t>
      </w:r>
    </w:p>
    <w:p w14:paraId="78F4DAF9" w14:textId="2B992690"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CONPES 4070 de 2021: Establece los lineamientos para la implementación de un modelo de Estado Abierto en Colombia.</w:t>
      </w:r>
    </w:p>
    <w:p w14:paraId="64817DC9" w14:textId="2D692FCA"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CONPES 167 de 2013: Define la Estrategia Nacional de la Política Pública Integral Anticorrupción.</w:t>
      </w:r>
    </w:p>
    <w:p w14:paraId="56C3879F" w14:textId="375B2B2E"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Decreto Distrital 189 de 2020: Expide lineamientos generales sobre transparencia, integridad y medidas anticorrupción para Bogotá.</w:t>
      </w:r>
    </w:p>
    <w:p w14:paraId="2636C56A" w14:textId="3F945289" w:rsidR="00906F68" w:rsidRPr="00906F68" w:rsidRDefault="00906F68" w:rsidP="00906F68">
      <w:pPr>
        <w:pStyle w:val="Prrafodelista"/>
        <w:numPr>
          <w:ilvl w:val="0"/>
          <w:numId w:val="3"/>
        </w:numPr>
        <w:rPr>
          <w:rFonts w:ascii="Lexend Light" w:eastAsia="Lexend Light" w:hAnsi="Lexend Light" w:cs="Lexend Light"/>
          <w:sz w:val="20"/>
          <w:szCs w:val="20"/>
        </w:rPr>
      </w:pPr>
      <w:r w:rsidRPr="00906F68">
        <w:rPr>
          <w:rFonts w:ascii="Lexend Light" w:eastAsia="Lexend Light" w:hAnsi="Lexend Light" w:cs="Lexend Light"/>
          <w:sz w:val="20"/>
          <w:szCs w:val="20"/>
        </w:rPr>
        <w:t>CONPES Distrital 01 de 2018: Política Pública de Transparencia, Integridad y no Tolerancia con la Corrupción.</w:t>
      </w:r>
    </w:p>
    <w:p w14:paraId="3D3AFB02" w14:textId="77777777" w:rsidR="00906F68" w:rsidRPr="00906F68" w:rsidRDefault="00906F68" w:rsidP="00906F68">
      <w:pPr>
        <w:pStyle w:val="Prrafodelista"/>
        <w:numPr>
          <w:ilvl w:val="0"/>
          <w:numId w:val="3"/>
        </w:numPr>
      </w:pPr>
      <w:r w:rsidRPr="00906F68">
        <w:rPr>
          <w:rFonts w:ascii="Lexend Light" w:eastAsia="Lexend Light" w:hAnsi="Lexend Light" w:cs="Lexend Light"/>
          <w:sz w:val="20"/>
          <w:szCs w:val="20"/>
        </w:rPr>
        <w:t>Directiva 005 de 2020: Establece las directrices sobre Gobierno Abierto en la ciudad.</w:t>
      </w:r>
    </w:p>
    <w:p w14:paraId="10AB49EA" w14:textId="77777777" w:rsidR="00906F68" w:rsidRDefault="00906F68" w:rsidP="00906F68">
      <w:pPr>
        <w:rPr>
          <w:rFonts w:ascii="Oswald Medium" w:eastAsia="Oswald Medium" w:hAnsi="Oswald Medium" w:cs="Oswald Medium"/>
          <w:color w:val="674EA7"/>
          <w:sz w:val="40"/>
          <w:szCs w:val="40"/>
        </w:rPr>
      </w:pPr>
    </w:p>
    <w:p w14:paraId="43A0481F" w14:textId="03B2CCA2" w:rsidR="00DF513F" w:rsidRDefault="00906F68" w:rsidP="00906F68">
      <w:r>
        <w:rPr>
          <w:rFonts w:ascii="Oswald Medium" w:eastAsia="Oswald Medium" w:hAnsi="Oswald Medium" w:cs="Oswald Medium"/>
          <w:color w:val="674EA7"/>
          <w:sz w:val="40"/>
          <w:szCs w:val="40"/>
        </w:rPr>
        <w:t>Objetivo</w:t>
      </w:r>
    </w:p>
    <w:p w14:paraId="32C58746" w14:textId="16CE1267" w:rsidR="007E1E1C" w:rsidRDefault="00F51E63">
      <w:pPr>
        <w:jc w:val="both"/>
      </w:pPr>
      <w:r w:rsidRPr="00F51E63">
        <w:rPr>
          <w:rFonts w:ascii="Lexend Light" w:eastAsia="Lexend Light" w:hAnsi="Lexend Light" w:cs="Lexend Light"/>
          <w:sz w:val="20"/>
          <w:szCs w:val="20"/>
        </w:rPr>
        <w:t xml:space="preserve">Promover la transparencia y mejorar la atención al ciudadano dentro de la Fundación Gilberto </w:t>
      </w:r>
      <w:proofErr w:type="spellStart"/>
      <w:r w:rsidRPr="00F51E63">
        <w:rPr>
          <w:rFonts w:ascii="Lexend Light" w:eastAsia="Lexend Light" w:hAnsi="Lexend Light" w:cs="Lexend Light"/>
          <w:sz w:val="20"/>
          <w:szCs w:val="20"/>
        </w:rPr>
        <w:t>Alzate</w:t>
      </w:r>
      <w:proofErr w:type="spellEnd"/>
      <w:r w:rsidRPr="00F51E63">
        <w:rPr>
          <w:rFonts w:ascii="Lexend Light" w:eastAsia="Lexend Light" w:hAnsi="Lexend Light" w:cs="Lexend Light"/>
          <w:sz w:val="20"/>
          <w:szCs w:val="20"/>
        </w:rPr>
        <w:t xml:space="preserve"> Avendaño, con el propósito de dar cumplimiento a la Ley 1474 de 2011 "Por la cual se dictan normas orientadas a fortalecer los mecanismos de prevención, investigación y sanción de actos de corrupción y la efectividad del control de la gestión pública" y la Ley 2195 de 2022 "Por medio de la cual se adoptan medidas en materia de transparencia, prevención y lucha contra la corrupción y se dictan otras disposiciones", mediante la definición de actividades encaminadas a la lucha contra la corrupción.</w:t>
      </w:r>
    </w:p>
    <w:p w14:paraId="2EF305DE" w14:textId="1489F448" w:rsidR="00DF513F" w:rsidRDefault="00906F68">
      <w:pPr>
        <w:pStyle w:val="Ttulo2"/>
      </w:pPr>
      <w:bookmarkStart w:id="1" w:name="_d2fu22ql14i" w:colFirst="0" w:colLast="0"/>
      <w:bookmarkEnd w:id="1"/>
      <w:r>
        <w:rPr>
          <w:rFonts w:ascii="Oswald Medium" w:eastAsia="Oswald Medium" w:hAnsi="Oswald Medium" w:cs="Oswald Medium"/>
          <w:color w:val="674EA7"/>
          <w:sz w:val="40"/>
          <w:szCs w:val="40"/>
        </w:rPr>
        <w:t>Alcance</w:t>
      </w:r>
    </w:p>
    <w:p w14:paraId="4193DCCF" w14:textId="4995F98B" w:rsidR="00906F68" w:rsidRDefault="00906F68" w:rsidP="00755644">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 xml:space="preserve">El Programa de transparencia y ética pública de la Fundación Gilberto </w:t>
      </w:r>
      <w:proofErr w:type="spellStart"/>
      <w:r w:rsidRPr="00906F68">
        <w:rPr>
          <w:rFonts w:ascii="Lexend Light" w:eastAsia="Lexend Light" w:hAnsi="Lexend Light" w:cs="Lexend Light"/>
          <w:sz w:val="20"/>
          <w:szCs w:val="20"/>
        </w:rPr>
        <w:t>Alzate</w:t>
      </w:r>
      <w:proofErr w:type="spellEnd"/>
      <w:r w:rsidRPr="00906F68">
        <w:rPr>
          <w:rFonts w:ascii="Lexend Light" w:eastAsia="Lexend Light" w:hAnsi="Lexend Light" w:cs="Lexend Light"/>
          <w:sz w:val="20"/>
          <w:szCs w:val="20"/>
        </w:rPr>
        <w:t xml:space="preserve"> Avendaño para la vigencia 2026, aplica para todos los procesos, y es de estricto cumplimiento para todos los servidores públicos y contratistas en el desarrollo de sus funciones y obligaciones, impactando positivamente en el servicio prestado a los grupos de valor y/o partes interesadas.</w:t>
      </w:r>
    </w:p>
    <w:p w14:paraId="4CFFC214" w14:textId="77777777" w:rsidR="00906F68" w:rsidRDefault="00906F68" w:rsidP="007E1E1C">
      <w:pPr>
        <w:jc w:val="both"/>
        <w:rPr>
          <w:rFonts w:ascii="Oswald Medium" w:eastAsia="Oswald Medium" w:hAnsi="Oswald Medium" w:cs="Oswald Medium"/>
          <w:color w:val="674EA7"/>
          <w:sz w:val="40"/>
          <w:szCs w:val="40"/>
        </w:rPr>
      </w:pPr>
    </w:p>
    <w:p w14:paraId="570DC779" w14:textId="77777777" w:rsidR="00906F68" w:rsidRDefault="00906F68" w:rsidP="00906F68">
      <w:pPr>
        <w:rPr>
          <w:rFonts w:ascii="Lexend Light" w:eastAsia="Lexend Light" w:hAnsi="Lexend Light" w:cs="Lexend Light"/>
          <w:sz w:val="20"/>
          <w:szCs w:val="20"/>
        </w:rPr>
      </w:pPr>
      <w:r>
        <w:rPr>
          <w:rFonts w:ascii="Oswald Medium" w:eastAsia="Oswald Medium" w:hAnsi="Oswald Medium" w:cs="Oswald Medium"/>
          <w:color w:val="674EA7"/>
          <w:sz w:val="40"/>
          <w:szCs w:val="40"/>
        </w:rPr>
        <w:t>C</w:t>
      </w:r>
      <w:r w:rsidRPr="00906F68">
        <w:rPr>
          <w:rFonts w:ascii="Oswald Medium" w:eastAsia="Oswald Medium" w:hAnsi="Oswald Medium" w:cs="Oswald Medium"/>
          <w:color w:val="674EA7"/>
          <w:sz w:val="40"/>
          <w:szCs w:val="40"/>
        </w:rPr>
        <w:t>omponentes y Estructura Operativa</w:t>
      </w:r>
      <w:r>
        <w:rPr>
          <w:rFonts w:ascii="Lexend Light" w:eastAsia="Lexend Light" w:hAnsi="Lexend Light" w:cs="Lexend Light"/>
          <w:sz w:val="20"/>
          <w:szCs w:val="20"/>
        </w:rPr>
        <w:t xml:space="preserve"> </w:t>
      </w:r>
    </w:p>
    <w:p w14:paraId="116743E0" w14:textId="77777777" w:rsidR="00906F68" w:rsidRDefault="00906F68" w:rsidP="00906F68">
      <w:pPr>
        <w:rPr>
          <w:rFonts w:ascii="Lexend Light" w:eastAsia="Lexend Light" w:hAnsi="Lexend Light" w:cs="Lexend Light"/>
          <w:sz w:val="20"/>
          <w:szCs w:val="20"/>
        </w:rPr>
      </w:pPr>
    </w:p>
    <w:p w14:paraId="58D8C1E0" w14:textId="46AA6165" w:rsidR="00906F68" w:rsidRPr="00906F68" w:rsidRDefault="00906F68" w:rsidP="00755644">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La arquitectura del PTEP se fundamenta en una estructura dual, diseñada para garantizar tanto el compromiso cultural como la ejecución estratégica. Está compuesto por un componente transversal, que sienta las bases de la gestión y la cultura de integridad, y un componente programático, que despliega las acciones concretas de lucha contra la corrupción.</w:t>
      </w:r>
    </w:p>
    <w:p w14:paraId="0E92951B" w14:textId="77777777" w:rsidR="00906F68" w:rsidRPr="00906F68" w:rsidRDefault="00906F68" w:rsidP="00906F68">
      <w:pPr>
        <w:pStyle w:val="Ttulo2"/>
      </w:pPr>
      <w:r w:rsidRPr="00906F68">
        <w:lastRenderedPageBreak/>
        <w:t>Componente Transversal</w:t>
      </w:r>
    </w:p>
    <w:p w14:paraId="286EE169" w14:textId="77777777" w:rsidR="00906F68" w:rsidRDefault="00906F68" w:rsidP="00755644">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Este componente agrupa el conjunto de acciones que aseguran la incorporación efectiva del PTEP en la cultura y la dinámica diaria de la institución. Son los cimientos sobre los cuales se construyen las estrategias de integridad.</w:t>
      </w:r>
    </w:p>
    <w:p w14:paraId="3BC73591" w14:textId="77777777" w:rsidR="00906F68" w:rsidRPr="00906F68" w:rsidRDefault="00906F68" w:rsidP="00906F68">
      <w:pPr>
        <w:rPr>
          <w:rFonts w:ascii="Lexend Light" w:eastAsia="Lexend Light" w:hAnsi="Lexend Light" w:cs="Lexend Light"/>
          <w:sz w:val="20"/>
          <w:szCs w:val="20"/>
        </w:rPr>
      </w:pPr>
    </w:p>
    <w:p w14:paraId="40CA4040" w14:textId="58ABEBD1"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Declaración: Una manifestación institucional de compromiso con el principio de moralidad y la observancia del programa. Recopila los valores y principios que la entidad exalta y debe servir como guía para interpretar el objetivo y alcance del programa.</w:t>
      </w:r>
    </w:p>
    <w:p w14:paraId="2A0FBF8D" w14:textId="6A920554"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Objetivos: La definición de metas específicas, medibles, alcanzables, relevantes y con plazos definidos, orientadas a la gestión de riesgos de corrupción y la promoción de una cultura de legalidad.</w:t>
      </w:r>
    </w:p>
    <w:p w14:paraId="39345811" w14:textId="3C2C4D5C"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Alcance: La identificación clara de todos los sujetos que participan en el programa (colaboradores, funcionarios, contratistas, proveedores) y la definición de sus roles y responsabilidades.</w:t>
      </w:r>
    </w:p>
    <w:p w14:paraId="282367D5" w14:textId="300E6EAC"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Planeación: La incorporación formal del PTEP en los planes de acción institucionales y en los ciclos de planeación, garantizando su alineación con el Modelo Integrado de Planeación y Gestión (MIPG).</w:t>
      </w:r>
    </w:p>
    <w:p w14:paraId="7153202E" w14:textId="3061BE04"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Administración, Supervisión y Monitoreo: La asignación de responsabilidades claras para la gestión continua, el seguimiento y la supervisión del programa, asegurando su correcta implementación y sostenibilidad.</w:t>
      </w:r>
    </w:p>
    <w:p w14:paraId="1D0681B2" w14:textId="60FAB7A3"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Reportes: El establecimiento de mecanismos y canales para informar periódicamente sobre los avances, resultados y desafíos en la implementación del programa a las partes interesadas.</w:t>
      </w:r>
    </w:p>
    <w:p w14:paraId="1DAA3C3E" w14:textId="37392CF5"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Estrategia de Formación: El desarrollo de un plan de capacitación y sensibilización para fortalecer las capacidades internas y asegurar que todos los colaboradores comprendan y apliquen los principios del PTEP.</w:t>
      </w:r>
    </w:p>
    <w:p w14:paraId="26D5E14E" w14:textId="04A8E3F2"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Estrategia de Comunicación: La difusión activa de los principios, acciones, logros y canales de denuncia del programa, tanto a nivel interno como externo, para fomentar la transparencia y la participación.</w:t>
      </w:r>
    </w:p>
    <w:p w14:paraId="76312B73" w14:textId="6B7744B2" w:rsidR="00906F68" w:rsidRPr="00906F68" w:rsidRDefault="00906F68" w:rsidP="00906F68">
      <w:pPr>
        <w:pStyle w:val="Prrafodelista"/>
        <w:numPr>
          <w:ilvl w:val="0"/>
          <w:numId w:val="5"/>
        </w:numPr>
        <w:rPr>
          <w:rFonts w:ascii="Lexend Light" w:eastAsia="Lexend Light" w:hAnsi="Lexend Light" w:cs="Lexend Light"/>
          <w:sz w:val="20"/>
          <w:szCs w:val="20"/>
        </w:rPr>
      </w:pPr>
      <w:r w:rsidRPr="00906F68">
        <w:rPr>
          <w:rFonts w:ascii="Lexend Light" w:eastAsia="Lexend Light" w:hAnsi="Lexend Light" w:cs="Lexend Light"/>
          <w:sz w:val="20"/>
          <w:szCs w:val="20"/>
        </w:rPr>
        <w:t>Evaluación: La medición periódica del desempeño y la efectividad del programa para identificar áreas de mejora, ajustar estrategias y garantizar su relevancia y eficacia a lo largo del tiempo.</w:t>
      </w:r>
    </w:p>
    <w:p w14:paraId="575CCADE" w14:textId="77777777" w:rsidR="00906F68" w:rsidRPr="00906F68" w:rsidRDefault="00906F68" w:rsidP="00906F68">
      <w:pPr>
        <w:pStyle w:val="Ttulo2"/>
      </w:pPr>
      <w:r w:rsidRPr="00906F68">
        <w:t>Componente Programático</w:t>
      </w:r>
    </w:p>
    <w:p w14:paraId="1DDF9CAA" w14:textId="77777777" w:rsidR="00906F68" w:rsidRDefault="00906F68" w:rsidP="00755644">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Este componente contiene las acciones estratégicas y operativas dirigidas específicamente a prevenir, detectar y responder a los riesgos de corrupción. Su acción principal es:</w:t>
      </w:r>
    </w:p>
    <w:p w14:paraId="20AA749B" w14:textId="77777777" w:rsidR="00906F68" w:rsidRPr="00906F68" w:rsidRDefault="00906F68" w:rsidP="00755644">
      <w:pPr>
        <w:jc w:val="both"/>
        <w:rPr>
          <w:rFonts w:ascii="Lexend Light" w:eastAsia="Lexend Light" w:hAnsi="Lexend Light" w:cs="Lexend Light"/>
          <w:sz w:val="20"/>
          <w:szCs w:val="20"/>
        </w:rPr>
      </w:pPr>
    </w:p>
    <w:p w14:paraId="2689DC75" w14:textId="77777777" w:rsidR="00906F68" w:rsidRPr="00906F68" w:rsidRDefault="00906F68" w:rsidP="00755644">
      <w:pPr>
        <w:jc w:val="both"/>
        <w:rPr>
          <w:rFonts w:ascii="Lexend Light" w:eastAsia="Lexend Light" w:hAnsi="Lexend Light" w:cs="Lexend Light"/>
          <w:sz w:val="20"/>
          <w:szCs w:val="20"/>
        </w:rPr>
      </w:pPr>
      <w:r w:rsidRPr="00906F68">
        <w:rPr>
          <w:rFonts w:ascii="Lexend Light" w:eastAsia="Lexend Light" w:hAnsi="Lexend Light" w:cs="Lexend Light"/>
          <w:sz w:val="20"/>
          <w:szCs w:val="20"/>
        </w:rPr>
        <w:t>•</w:t>
      </w:r>
      <w:r w:rsidRPr="00906F68">
        <w:rPr>
          <w:rFonts w:ascii="Lexend Light" w:eastAsia="Lexend Light" w:hAnsi="Lexend Light" w:cs="Lexend Light"/>
          <w:sz w:val="20"/>
          <w:szCs w:val="20"/>
        </w:rPr>
        <w:tab/>
        <w:t>Establecer una estrategia institucional para la lucha contra la corrupción, que se materializa a través de los instrumentos y procesos definidos por la entidad.</w:t>
      </w:r>
    </w:p>
    <w:p w14:paraId="40233154" w14:textId="77777777" w:rsidR="006D4EBD" w:rsidRDefault="006D4EBD" w:rsidP="00755644">
      <w:pPr>
        <w:jc w:val="both"/>
        <w:rPr>
          <w:rFonts w:ascii="Lexend Light" w:eastAsia="Lexend Light" w:hAnsi="Lexend Light" w:cs="Lexend Light"/>
          <w:sz w:val="20"/>
          <w:szCs w:val="20"/>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2"/>
        <w:gridCol w:w="5286"/>
      </w:tblGrid>
      <w:tr w:rsidR="00290AC0" w:rsidRPr="006D4EBD" w14:paraId="77E310F6" w14:textId="77777777" w:rsidTr="000B13DB">
        <w:trPr>
          <w:trHeight w:val="482"/>
          <w:tblHeader/>
        </w:trPr>
        <w:tc>
          <w:tcPr>
            <w:tcW w:w="2406" w:type="pct"/>
            <w:tcBorders>
              <w:top w:val="outset" w:sz="6" w:space="0" w:color="auto"/>
              <w:left w:val="outset" w:sz="6" w:space="0" w:color="auto"/>
              <w:bottom w:val="outset" w:sz="6" w:space="0" w:color="auto"/>
              <w:right w:val="outset" w:sz="6" w:space="0" w:color="auto"/>
            </w:tcBorders>
            <w:shd w:val="clear" w:color="auto" w:fill="412E88"/>
            <w:vAlign w:val="center"/>
            <w:hideMark/>
          </w:tcPr>
          <w:p w14:paraId="015BC6E3" w14:textId="77777777" w:rsidR="00290AC0" w:rsidRPr="006D4EBD" w:rsidRDefault="00290AC0" w:rsidP="006D4EBD">
            <w:pPr>
              <w:pBdr>
                <w:top w:val="nil"/>
                <w:left w:val="nil"/>
                <w:bottom w:val="nil"/>
                <w:right w:val="nil"/>
                <w:between w:val="nil"/>
              </w:pBdr>
              <w:ind w:left="112" w:right="212"/>
              <w:jc w:val="center"/>
              <w:rPr>
                <w:rFonts w:eastAsia="Lexend Light"/>
                <w:b/>
                <w:bCs/>
                <w:color w:val="FFFFFF" w:themeColor="background1"/>
                <w:lang w:val="es-CO"/>
              </w:rPr>
            </w:pPr>
            <w:r w:rsidRPr="006D4EBD">
              <w:rPr>
                <w:rFonts w:eastAsia="Lexend Light"/>
                <w:b/>
                <w:bCs/>
                <w:color w:val="FFFFFF" w:themeColor="background1"/>
                <w:lang w:val="es-CO"/>
              </w:rPr>
              <w:t>INSTRUMENTOS DE IMPLEMENTACIÓN</w:t>
            </w:r>
          </w:p>
        </w:tc>
        <w:tc>
          <w:tcPr>
            <w:tcW w:w="2594" w:type="pct"/>
            <w:tcBorders>
              <w:top w:val="outset" w:sz="6" w:space="0" w:color="auto"/>
              <w:left w:val="outset" w:sz="6" w:space="0" w:color="auto"/>
              <w:bottom w:val="outset" w:sz="6" w:space="0" w:color="auto"/>
              <w:right w:val="outset" w:sz="6" w:space="0" w:color="auto"/>
            </w:tcBorders>
            <w:shd w:val="clear" w:color="auto" w:fill="412E88"/>
            <w:vAlign w:val="center"/>
            <w:hideMark/>
          </w:tcPr>
          <w:p w14:paraId="38E9AEC8" w14:textId="77777777" w:rsidR="00290AC0" w:rsidRPr="006D4EBD" w:rsidRDefault="00290AC0" w:rsidP="006D4EBD">
            <w:pPr>
              <w:pBdr>
                <w:top w:val="nil"/>
                <w:left w:val="nil"/>
                <w:bottom w:val="nil"/>
                <w:right w:val="nil"/>
                <w:between w:val="nil"/>
              </w:pBdr>
              <w:ind w:left="43" w:right="121"/>
              <w:jc w:val="center"/>
              <w:rPr>
                <w:rFonts w:eastAsia="Lexend Light"/>
                <w:b/>
                <w:bCs/>
                <w:color w:val="FFFFFF" w:themeColor="background1"/>
                <w:lang w:val="es-CO"/>
              </w:rPr>
            </w:pPr>
            <w:r w:rsidRPr="006D4EBD">
              <w:rPr>
                <w:rFonts w:eastAsia="Lexend Light"/>
                <w:b/>
                <w:bCs/>
                <w:color w:val="FFFFFF" w:themeColor="background1"/>
                <w:lang w:val="es-CO"/>
              </w:rPr>
              <w:t>PROCESOS FUNDAMENTALES</w:t>
            </w:r>
          </w:p>
        </w:tc>
      </w:tr>
      <w:tr w:rsidR="00290AC0" w:rsidRPr="006D4EBD" w14:paraId="5DB14E43" w14:textId="77777777" w:rsidTr="0090035F">
        <w:tc>
          <w:tcPr>
            <w:tcW w:w="2406" w:type="pct"/>
            <w:tcBorders>
              <w:top w:val="outset" w:sz="6" w:space="0" w:color="auto"/>
              <w:left w:val="outset" w:sz="6" w:space="0" w:color="auto"/>
              <w:bottom w:val="outset" w:sz="6" w:space="0" w:color="auto"/>
              <w:right w:val="outset" w:sz="6" w:space="0" w:color="auto"/>
            </w:tcBorders>
            <w:vAlign w:val="center"/>
            <w:hideMark/>
          </w:tcPr>
          <w:p w14:paraId="5D0E9EA8" w14:textId="71E63465" w:rsidR="00290AC0" w:rsidRPr="006D4EBD" w:rsidRDefault="00290AC0" w:rsidP="006D4EBD">
            <w:pPr>
              <w:pBdr>
                <w:top w:val="nil"/>
                <w:left w:val="nil"/>
                <w:bottom w:val="nil"/>
                <w:right w:val="nil"/>
                <w:between w:val="nil"/>
              </w:pBdr>
              <w:ind w:left="112" w:right="212"/>
              <w:jc w:val="both"/>
              <w:rPr>
                <w:rFonts w:eastAsia="Lexend Light"/>
                <w:lang w:val="es-CO"/>
              </w:rPr>
            </w:pPr>
            <w:r w:rsidRPr="006D4EBD">
              <w:rPr>
                <w:rFonts w:eastAsia="Lexend Light"/>
                <w:b/>
                <w:bCs/>
                <w:lang w:val="es-CO"/>
              </w:rPr>
              <w:t>Políticas:</w:t>
            </w:r>
            <w:r w:rsidRPr="006D4EBD">
              <w:rPr>
                <w:rFonts w:eastAsia="Lexend Light"/>
                <w:lang w:val="es-CO"/>
              </w:rPr>
              <w:t xml:space="preserve"> Documentos que expresan las intenciones y la dirección estratégica de la </w:t>
            </w:r>
            <w:r w:rsidRPr="006D4EBD">
              <w:rPr>
                <w:rFonts w:eastAsia="Lexend Light"/>
                <w:lang w:val="es-CO"/>
              </w:rPr>
              <w:lastRenderedPageBreak/>
              <w:t>entidad, como actos administrativos, directivas, lineamientos y manuales, que guían la toma de decisiones en materia de integridad.</w:t>
            </w:r>
          </w:p>
        </w:tc>
        <w:tc>
          <w:tcPr>
            <w:tcW w:w="2594" w:type="pct"/>
            <w:tcBorders>
              <w:top w:val="outset" w:sz="6" w:space="0" w:color="auto"/>
              <w:left w:val="outset" w:sz="6" w:space="0" w:color="auto"/>
              <w:bottom w:val="outset" w:sz="6" w:space="0" w:color="auto"/>
              <w:right w:val="outset" w:sz="6" w:space="0" w:color="auto"/>
            </w:tcBorders>
            <w:vAlign w:val="center"/>
            <w:hideMark/>
          </w:tcPr>
          <w:p w14:paraId="14E98573" w14:textId="23ABCE7F" w:rsidR="00290AC0" w:rsidRPr="006D4EBD" w:rsidRDefault="006D4EBD" w:rsidP="006D4EBD">
            <w:pPr>
              <w:pBdr>
                <w:top w:val="nil"/>
                <w:left w:val="nil"/>
                <w:bottom w:val="nil"/>
                <w:right w:val="nil"/>
                <w:between w:val="nil"/>
              </w:pBdr>
              <w:ind w:left="43" w:right="121"/>
              <w:jc w:val="both"/>
              <w:rPr>
                <w:rFonts w:eastAsia="Lexend Light"/>
                <w:lang w:val="es-CO"/>
              </w:rPr>
            </w:pPr>
            <w:r w:rsidRPr="006D4EBD">
              <w:rPr>
                <w:rFonts w:eastAsia="Lexend Light"/>
                <w:b/>
                <w:bCs/>
                <w:lang w:val="es-CO"/>
              </w:rPr>
              <w:lastRenderedPageBreak/>
              <w:t>Liderazgo</w:t>
            </w:r>
            <w:r w:rsidR="00290AC0" w:rsidRPr="006D4EBD">
              <w:rPr>
                <w:rFonts w:eastAsia="Lexend Light"/>
                <w:b/>
                <w:bCs/>
                <w:lang w:val="es-CO"/>
              </w:rPr>
              <w:t>:</w:t>
            </w:r>
            <w:r w:rsidR="00290AC0" w:rsidRPr="006D4EBD">
              <w:rPr>
                <w:rFonts w:eastAsia="Lexend Light"/>
                <w:lang w:val="es-CO"/>
              </w:rPr>
              <w:t xml:space="preserve"> El apoyo y direccionamiento estratégico de la alta dirección, fundamental para impulsar y </w:t>
            </w:r>
            <w:r w:rsidR="00290AC0" w:rsidRPr="006D4EBD">
              <w:rPr>
                <w:rFonts w:eastAsia="Lexend Light"/>
                <w:lang w:val="es-CO"/>
              </w:rPr>
              <w:lastRenderedPageBreak/>
              <w:t>legitimar las acciones del programa en toda la organización.</w:t>
            </w:r>
          </w:p>
        </w:tc>
      </w:tr>
      <w:tr w:rsidR="00290AC0" w:rsidRPr="006D4EBD" w14:paraId="07013CC5" w14:textId="77777777" w:rsidTr="0090035F">
        <w:tc>
          <w:tcPr>
            <w:tcW w:w="2406" w:type="pct"/>
            <w:tcBorders>
              <w:top w:val="outset" w:sz="6" w:space="0" w:color="auto"/>
              <w:left w:val="outset" w:sz="6" w:space="0" w:color="auto"/>
              <w:bottom w:val="outset" w:sz="6" w:space="0" w:color="auto"/>
              <w:right w:val="outset" w:sz="6" w:space="0" w:color="auto"/>
            </w:tcBorders>
            <w:vAlign w:val="center"/>
            <w:hideMark/>
          </w:tcPr>
          <w:p w14:paraId="76145719" w14:textId="6AC5BB9A" w:rsidR="00290AC0" w:rsidRPr="006D4EBD" w:rsidRDefault="00290AC0" w:rsidP="006D4EBD">
            <w:pPr>
              <w:pBdr>
                <w:top w:val="nil"/>
                <w:left w:val="nil"/>
                <w:bottom w:val="nil"/>
                <w:right w:val="nil"/>
                <w:between w:val="nil"/>
              </w:pBdr>
              <w:ind w:left="112" w:right="212"/>
              <w:jc w:val="both"/>
              <w:rPr>
                <w:rFonts w:eastAsia="Lexend Light"/>
                <w:lang w:val="es-CO"/>
              </w:rPr>
            </w:pPr>
            <w:r w:rsidRPr="006D4EBD">
              <w:rPr>
                <w:rFonts w:eastAsia="Lexend Light"/>
                <w:b/>
                <w:bCs/>
                <w:lang w:val="es-CO"/>
              </w:rPr>
              <w:lastRenderedPageBreak/>
              <w:t>Procedimientos:</w:t>
            </w:r>
            <w:r w:rsidRPr="006D4EBD">
              <w:rPr>
                <w:rFonts w:eastAsia="Lexend Light"/>
                <w:lang w:val="es-CO"/>
              </w:rPr>
              <w:t xml:space="preserve"> La forma especificada y estandarizada de llevar a cabo una actividad o un proceso, asegurando consistencia y cumplimiento de las políticas de integridad en las operaciones diarias.</w:t>
            </w:r>
          </w:p>
        </w:tc>
        <w:tc>
          <w:tcPr>
            <w:tcW w:w="2594" w:type="pct"/>
            <w:tcBorders>
              <w:top w:val="outset" w:sz="6" w:space="0" w:color="auto"/>
              <w:left w:val="outset" w:sz="6" w:space="0" w:color="auto"/>
              <w:bottom w:val="outset" w:sz="6" w:space="0" w:color="auto"/>
              <w:right w:val="outset" w:sz="6" w:space="0" w:color="auto"/>
            </w:tcBorders>
            <w:vAlign w:val="center"/>
            <w:hideMark/>
          </w:tcPr>
          <w:p w14:paraId="055E5678" w14:textId="39B7FF8E" w:rsidR="00290AC0" w:rsidRDefault="006D4EBD" w:rsidP="006D4EBD">
            <w:pPr>
              <w:pBdr>
                <w:top w:val="nil"/>
                <w:left w:val="nil"/>
                <w:bottom w:val="nil"/>
                <w:right w:val="nil"/>
                <w:between w:val="nil"/>
              </w:pBdr>
              <w:ind w:left="43" w:right="121"/>
              <w:jc w:val="both"/>
              <w:rPr>
                <w:rFonts w:eastAsia="Lexend Light"/>
                <w:lang w:val="es-CO"/>
              </w:rPr>
            </w:pPr>
            <w:r w:rsidRPr="006D4EBD">
              <w:rPr>
                <w:rFonts w:eastAsia="Lexend Light"/>
                <w:b/>
                <w:bCs/>
                <w:lang w:val="es-CO"/>
              </w:rPr>
              <w:t>Planificación</w:t>
            </w:r>
            <w:r w:rsidR="00290AC0" w:rsidRPr="006D4EBD">
              <w:rPr>
                <w:rFonts w:eastAsia="Lexend Light"/>
                <w:b/>
                <w:bCs/>
                <w:lang w:val="es-CO"/>
              </w:rPr>
              <w:t>:</w:t>
            </w:r>
            <w:r w:rsidR="00290AC0" w:rsidRPr="006D4EBD">
              <w:rPr>
                <w:rFonts w:eastAsia="Lexend Light"/>
                <w:lang w:val="es-CO"/>
              </w:rPr>
              <w:t xml:space="preserve"> La definición de indicadores, la asignación de recursos y el diseño de estrategias para asegurar que las acciones del PTEP se incorporen de manera coherente en la planeación institucional. </w:t>
            </w:r>
          </w:p>
          <w:p w14:paraId="2D0663C2" w14:textId="77777777" w:rsidR="006D4EBD" w:rsidRPr="006D4EBD" w:rsidRDefault="006D4EBD" w:rsidP="006D4EBD">
            <w:pPr>
              <w:pBdr>
                <w:top w:val="nil"/>
                <w:left w:val="nil"/>
                <w:bottom w:val="nil"/>
                <w:right w:val="nil"/>
                <w:between w:val="nil"/>
              </w:pBdr>
              <w:ind w:left="43" w:right="121"/>
              <w:jc w:val="both"/>
              <w:rPr>
                <w:rFonts w:eastAsia="Lexend Light"/>
                <w:lang w:val="es-CO"/>
              </w:rPr>
            </w:pPr>
          </w:p>
          <w:p w14:paraId="0F27DACA" w14:textId="7784133B" w:rsidR="00290AC0" w:rsidRPr="006D4EBD" w:rsidRDefault="003C0EB9" w:rsidP="006D4EBD">
            <w:pPr>
              <w:pBdr>
                <w:top w:val="nil"/>
                <w:left w:val="nil"/>
                <w:bottom w:val="nil"/>
                <w:right w:val="nil"/>
                <w:between w:val="nil"/>
              </w:pBdr>
              <w:ind w:left="43" w:right="121"/>
              <w:jc w:val="both"/>
              <w:rPr>
                <w:rFonts w:eastAsia="Lexend Light"/>
                <w:lang w:val="es-CO"/>
              </w:rPr>
            </w:pPr>
            <w:r w:rsidRPr="006D4EBD">
              <w:rPr>
                <w:rFonts w:eastAsia="Lexend Light"/>
                <w:b/>
                <w:bCs/>
                <w:lang w:val="es-CO"/>
              </w:rPr>
              <w:t>Apoyo</w:t>
            </w:r>
            <w:r w:rsidR="00290AC0" w:rsidRPr="006D4EBD">
              <w:rPr>
                <w:rFonts w:eastAsia="Lexend Light"/>
                <w:b/>
                <w:bCs/>
                <w:lang w:val="es-CO"/>
              </w:rPr>
              <w:t>:</w:t>
            </w:r>
            <w:r w:rsidR="00290AC0" w:rsidRPr="006D4EBD">
              <w:rPr>
                <w:rFonts w:eastAsia="Lexend Light"/>
                <w:lang w:val="es-CO"/>
              </w:rPr>
              <w:t xml:space="preserve"> Las acciones transversales que facilitan la implementación del programa, como la comunicación, la formación y los servicios asistenciales, creando un entorno propicio para la cultura de integridad.</w:t>
            </w:r>
          </w:p>
        </w:tc>
      </w:tr>
      <w:tr w:rsidR="00290AC0" w:rsidRPr="006D4EBD" w14:paraId="6A2FE192" w14:textId="77777777" w:rsidTr="0090035F">
        <w:tc>
          <w:tcPr>
            <w:tcW w:w="2406" w:type="pct"/>
            <w:tcBorders>
              <w:top w:val="outset" w:sz="6" w:space="0" w:color="auto"/>
              <w:left w:val="outset" w:sz="6" w:space="0" w:color="auto"/>
              <w:bottom w:val="outset" w:sz="6" w:space="0" w:color="auto"/>
              <w:right w:val="outset" w:sz="6" w:space="0" w:color="auto"/>
            </w:tcBorders>
            <w:vAlign w:val="center"/>
            <w:hideMark/>
          </w:tcPr>
          <w:p w14:paraId="55850CAF" w14:textId="3E144993" w:rsidR="00290AC0" w:rsidRPr="006D4EBD" w:rsidRDefault="00290AC0" w:rsidP="006D4EBD">
            <w:pPr>
              <w:pBdr>
                <w:top w:val="nil"/>
                <w:left w:val="nil"/>
                <w:bottom w:val="nil"/>
                <w:right w:val="nil"/>
                <w:between w:val="nil"/>
              </w:pBdr>
              <w:ind w:left="112" w:right="212"/>
              <w:jc w:val="both"/>
              <w:rPr>
                <w:rFonts w:eastAsia="Lexend Light"/>
                <w:lang w:val="es-CO"/>
              </w:rPr>
            </w:pPr>
            <w:r w:rsidRPr="006D4EBD">
              <w:rPr>
                <w:rFonts w:eastAsia="Lexend Light"/>
                <w:b/>
                <w:bCs/>
                <w:lang w:val="es-CO"/>
              </w:rPr>
              <w:t>Códigos de Conducta:</w:t>
            </w:r>
            <w:r w:rsidRPr="006D4EBD">
              <w:rPr>
                <w:rFonts w:eastAsia="Lexend Light"/>
                <w:lang w:val="es-CO"/>
              </w:rPr>
              <w:t xml:space="preserve"> Documentos que especifican el comportamiento ético y personal exigido a los colaboradores y otros grupos de interés, estableciendo un marco claro de actuación.</w:t>
            </w:r>
          </w:p>
        </w:tc>
        <w:tc>
          <w:tcPr>
            <w:tcW w:w="2594" w:type="pct"/>
            <w:tcBorders>
              <w:top w:val="outset" w:sz="6" w:space="0" w:color="auto"/>
              <w:left w:val="outset" w:sz="6" w:space="0" w:color="auto"/>
              <w:bottom w:val="outset" w:sz="6" w:space="0" w:color="auto"/>
              <w:right w:val="outset" w:sz="6" w:space="0" w:color="auto"/>
            </w:tcBorders>
            <w:vAlign w:val="center"/>
            <w:hideMark/>
          </w:tcPr>
          <w:p w14:paraId="6C447B79" w14:textId="32684B0A" w:rsidR="00290AC0" w:rsidRDefault="003C0EB9" w:rsidP="006D4EBD">
            <w:pPr>
              <w:pBdr>
                <w:top w:val="nil"/>
                <w:left w:val="nil"/>
                <w:bottom w:val="nil"/>
                <w:right w:val="nil"/>
                <w:between w:val="nil"/>
              </w:pBdr>
              <w:ind w:left="43" w:right="121"/>
              <w:jc w:val="both"/>
              <w:rPr>
                <w:rFonts w:eastAsia="Lexend Light"/>
                <w:lang w:val="es-CO"/>
              </w:rPr>
            </w:pPr>
            <w:r w:rsidRPr="006D4EBD">
              <w:rPr>
                <w:rFonts w:eastAsia="Lexend Light"/>
                <w:b/>
                <w:bCs/>
                <w:lang w:val="es-CO"/>
              </w:rPr>
              <w:t>Operación</w:t>
            </w:r>
            <w:r w:rsidR="00290AC0" w:rsidRPr="006D4EBD">
              <w:rPr>
                <w:rFonts w:eastAsia="Lexend Light"/>
                <w:b/>
                <w:bCs/>
                <w:lang w:val="es-CO"/>
              </w:rPr>
              <w:t>:</w:t>
            </w:r>
            <w:r w:rsidR="00290AC0" w:rsidRPr="006D4EBD">
              <w:rPr>
                <w:rFonts w:eastAsia="Lexend Light"/>
                <w:lang w:val="es-CO"/>
              </w:rPr>
              <w:t xml:space="preserve"> La ejecución de las actividades operativas del programa, como la distribución de tareas, el trabajo en equipo y el cumplimiento de los procedimientos establecidos.</w:t>
            </w:r>
          </w:p>
          <w:p w14:paraId="7BB49D10" w14:textId="77777777" w:rsidR="00A77380" w:rsidRPr="006D4EBD" w:rsidRDefault="00A77380" w:rsidP="006D4EBD">
            <w:pPr>
              <w:pBdr>
                <w:top w:val="nil"/>
                <w:left w:val="nil"/>
                <w:bottom w:val="nil"/>
                <w:right w:val="nil"/>
                <w:between w:val="nil"/>
              </w:pBdr>
              <w:ind w:left="43" w:right="121"/>
              <w:jc w:val="both"/>
              <w:rPr>
                <w:rFonts w:eastAsia="Lexend Light"/>
                <w:lang w:val="es-CO"/>
              </w:rPr>
            </w:pPr>
          </w:p>
          <w:p w14:paraId="1A41D25C" w14:textId="4E5C6BC3" w:rsidR="00290AC0" w:rsidRPr="006D4EBD" w:rsidRDefault="0005264B" w:rsidP="006D4EBD">
            <w:pPr>
              <w:pBdr>
                <w:top w:val="nil"/>
                <w:left w:val="nil"/>
                <w:bottom w:val="nil"/>
                <w:right w:val="nil"/>
                <w:between w:val="nil"/>
              </w:pBdr>
              <w:ind w:left="43" w:right="121"/>
              <w:jc w:val="both"/>
              <w:rPr>
                <w:rFonts w:eastAsia="Lexend Light"/>
                <w:lang w:val="es-CO"/>
              </w:rPr>
            </w:pPr>
            <w:r w:rsidRPr="006D4EBD">
              <w:rPr>
                <w:rFonts w:eastAsia="Lexend Light"/>
                <w:b/>
                <w:bCs/>
                <w:lang w:val="es-CO"/>
              </w:rPr>
              <w:t xml:space="preserve">Evaluación </w:t>
            </w:r>
            <w:r>
              <w:rPr>
                <w:rFonts w:eastAsia="Lexend Light"/>
                <w:b/>
                <w:bCs/>
                <w:lang w:val="es-CO"/>
              </w:rPr>
              <w:t>y</w:t>
            </w:r>
            <w:r w:rsidRPr="006D4EBD">
              <w:rPr>
                <w:rFonts w:eastAsia="Lexend Light"/>
                <w:b/>
                <w:bCs/>
                <w:lang w:val="es-CO"/>
              </w:rPr>
              <w:t xml:space="preserve"> Mejora</w:t>
            </w:r>
            <w:r w:rsidR="00290AC0" w:rsidRPr="006D4EBD">
              <w:rPr>
                <w:rFonts w:eastAsia="Lexend Light"/>
                <w:b/>
                <w:bCs/>
                <w:lang w:val="es-CO"/>
              </w:rPr>
              <w:t>:</w:t>
            </w:r>
            <w:r w:rsidR="00290AC0" w:rsidRPr="006D4EBD">
              <w:rPr>
                <w:rFonts w:eastAsia="Lexend Light"/>
                <w:lang w:val="es-CO"/>
              </w:rPr>
              <w:t xml:space="preserve"> La recolección de evidencias y la evaluación objetiva del desempeño del programa, permitiendo su mejora continua y adaptación a nuevos desafíos.</w:t>
            </w:r>
          </w:p>
        </w:tc>
      </w:tr>
    </w:tbl>
    <w:p w14:paraId="42D165D1" w14:textId="77777777" w:rsidR="00DF513F" w:rsidRDefault="00DF513F">
      <w:pPr>
        <w:pBdr>
          <w:top w:val="nil"/>
          <w:left w:val="nil"/>
          <w:bottom w:val="nil"/>
          <w:right w:val="nil"/>
          <w:between w:val="nil"/>
        </w:pBdr>
        <w:jc w:val="both"/>
        <w:rPr>
          <w:rFonts w:ascii="Lexend Light" w:eastAsia="Lexend Light" w:hAnsi="Lexend Light" w:cs="Lexend Light"/>
          <w:sz w:val="20"/>
          <w:szCs w:val="20"/>
        </w:rPr>
      </w:pPr>
    </w:p>
    <w:p w14:paraId="0F3D6FE9" w14:textId="77777777" w:rsidR="00282A75" w:rsidRDefault="00282A75">
      <w:pPr>
        <w:pBdr>
          <w:top w:val="nil"/>
          <w:left w:val="nil"/>
          <w:bottom w:val="nil"/>
          <w:right w:val="nil"/>
          <w:between w:val="nil"/>
        </w:pBdr>
        <w:jc w:val="both"/>
        <w:rPr>
          <w:rFonts w:ascii="Lexend Light" w:eastAsia="Lexend Light" w:hAnsi="Lexend Light" w:cs="Lexend Light"/>
          <w:sz w:val="20"/>
          <w:szCs w:val="20"/>
        </w:rPr>
      </w:pPr>
    </w:p>
    <w:p w14:paraId="22751491" w14:textId="77777777" w:rsid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Pr>
          <w:rFonts w:ascii="Oswald Medium" w:eastAsia="Oswald Medium" w:hAnsi="Oswald Medium" w:cs="Oswald Medium"/>
          <w:color w:val="674EA7"/>
          <w:sz w:val="40"/>
          <w:szCs w:val="40"/>
        </w:rPr>
        <w:t>Mo</w:t>
      </w:r>
      <w:r w:rsidRPr="00282A75">
        <w:rPr>
          <w:rFonts w:ascii="Oswald Medium" w:eastAsia="Oswald Medium" w:hAnsi="Oswald Medium" w:cs="Oswald Medium"/>
          <w:color w:val="674EA7"/>
          <w:sz w:val="40"/>
          <w:szCs w:val="40"/>
        </w:rPr>
        <w:t>delo Bogotá con Integridad</w:t>
      </w:r>
      <w:r w:rsidRPr="00282A75">
        <w:rPr>
          <w:rFonts w:ascii="Lexend Light" w:eastAsia="Lexend Light" w:hAnsi="Lexend Light" w:cs="Lexend Light"/>
          <w:sz w:val="20"/>
          <w:szCs w:val="20"/>
          <w:lang w:val="es-CO"/>
        </w:rPr>
        <w:t xml:space="preserve"> </w:t>
      </w:r>
    </w:p>
    <w:p w14:paraId="7E9EBC8F" w14:textId="77777777" w:rsid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p>
    <w:p w14:paraId="1DA7D510" w14:textId="3C47CACA" w:rsidR="00282A75" w:rsidRPr="00282A75" w:rsidRDefault="000B13DB" w:rsidP="00282A75">
      <w:pPr>
        <w:pBdr>
          <w:top w:val="nil"/>
          <w:left w:val="nil"/>
          <w:bottom w:val="nil"/>
          <w:right w:val="nil"/>
          <w:between w:val="nil"/>
        </w:pBdr>
        <w:jc w:val="both"/>
        <w:rPr>
          <w:rFonts w:ascii="Lexend Light" w:eastAsia="Lexend Light" w:hAnsi="Lexend Light" w:cs="Lexend Light"/>
          <w:sz w:val="20"/>
          <w:szCs w:val="20"/>
          <w:lang w:val="es-CO"/>
        </w:rPr>
      </w:pPr>
      <w:r>
        <w:rPr>
          <w:rFonts w:ascii="Lexend Light" w:eastAsia="Lexend Light" w:hAnsi="Lexend Light" w:cs="Lexend Light"/>
          <w:sz w:val="20"/>
          <w:szCs w:val="20"/>
          <w:lang w:val="es-CO"/>
        </w:rPr>
        <w:t>La F</w:t>
      </w:r>
      <w:r w:rsidR="00D214A4">
        <w:rPr>
          <w:rFonts w:ascii="Lexend Light" w:eastAsia="Lexend Light" w:hAnsi="Lexend Light" w:cs="Lexend Light"/>
          <w:sz w:val="20"/>
          <w:szCs w:val="20"/>
          <w:lang w:val="es-CO"/>
        </w:rPr>
        <w:t>UGA</w:t>
      </w:r>
      <w:r>
        <w:rPr>
          <w:rFonts w:ascii="Lexend Light" w:eastAsia="Lexend Light" w:hAnsi="Lexend Light" w:cs="Lexend Light"/>
          <w:sz w:val="20"/>
          <w:szCs w:val="20"/>
          <w:lang w:val="es-CO"/>
        </w:rPr>
        <w:t xml:space="preserve"> atendiendo los lineamientos </w:t>
      </w:r>
      <w:r w:rsidR="00D214A4">
        <w:rPr>
          <w:rFonts w:ascii="Lexend Light" w:eastAsia="Lexend Light" w:hAnsi="Lexend Light" w:cs="Lexend Light"/>
          <w:sz w:val="20"/>
          <w:szCs w:val="20"/>
          <w:lang w:val="es-CO"/>
        </w:rPr>
        <w:t xml:space="preserve">del </w:t>
      </w:r>
      <w:r w:rsidR="00282A75">
        <w:rPr>
          <w:rFonts w:ascii="Lexend Light" w:eastAsia="Lexend Light" w:hAnsi="Lexend Light" w:cs="Lexend Light"/>
          <w:sz w:val="20"/>
          <w:szCs w:val="20"/>
          <w:lang w:val="es-CO"/>
        </w:rPr>
        <w:t>P</w:t>
      </w:r>
      <w:r w:rsidR="00282A75" w:rsidRPr="00282A75">
        <w:rPr>
          <w:rFonts w:ascii="Lexend Light" w:eastAsia="Lexend Light" w:hAnsi="Lexend Light" w:cs="Lexend Light"/>
          <w:sz w:val="20"/>
          <w:szCs w:val="20"/>
          <w:lang w:val="es-CO"/>
        </w:rPr>
        <w:t>rograma distrital de transparencia y ética pública diseñado para articular los esfuerzos de las 59 entidades de la ciudad, organismos de control, sector privado y ciudadanía en la lucha contra la corrupción</w:t>
      </w:r>
      <w:r w:rsidR="009124A7">
        <w:rPr>
          <w:rFonts w:ascii="Lexend Light" w:eastAsia="Lexend Light" w:hAnsi="Lexend Light" w:cs="Lexend Light"/>
          <w:sz w:val="20"/>
          <w:szCs w:val="20"/>
          <w:lang w:val="es-CO"/>
        </w:rPr>
        <w:t>, considera la integración</w:t>
      </w:r>
      <w:r w:rsidR="00282A75" w:rsidRPr="00282A75">
        <w:rPr>
          <w:rFonts w:ascii="Lexend Light" w:eastAsia="Lexend Light" w:hAnsi="Lexend Light" w:cs="Lexend Light"/>
          <w:sz w:val="20"/>
          <w:szCs w:val="20"/>
          <w:lang w:val="es-CO"/>
        </w:rPr>
        <w:t xml:space="preserve"> </w:t>
      </w:r>
      <w:r w:rsidR="00477DD8">
        <w:rPr>
          <w:rFonts w:ascii="Lexend Light" w:eastAsia="Lexend Light" w:hAnsi="Lexend Light" w:cs="Lexend Light"/>
          <w:sz w:val="20"/>
          <w:szCs w:val="20"/>
          <w:lang w:val="es-CO"/>
        </w:rPr>
        <w:t xml:space="preserve">de los </w:t>
      </w:r>
      <w:r w:rsidR="00282A75" w:rsidRPr="00282A75">
        <w:rPr>
          <w:rFonts w:ascii="Lexend Light" w:eastAsia="Lexend Light" w:hAnsi="Lexend Light" w:cs="Lexend Light"/>
          <w:sz w:val="20"/>
          <w:szCs w:val="20"/>
          <w:lang w:val="es-CO"/>
        </w:rPr>
        <w:t>tres ejes estratégicos principales y nueve componentes operativos.</w:t>
      </w:r>
      <w:r w:rsidR="00282A75">
        <w:rPr>
          <w:rFonts w:ascii="Lexend Light" w:eastAsia="Lexend Light" w:hAnsi="Lexend Light" w:cs="Lexend Light"/>
          <w:sz w:val="20"/>
          <w:szCs w:val="20"/>
          <w:lang w:val="es-CO"/>
        </w:rPr>
        <w:t xml:space="preserve"> </w:t>
      </w:r>
      <w:r w:rsidR="00282A75" w:rsidRPr="00282A75">
        <w:rPr>
          <w:rFonts w:ascii="Lexend Light" w:eastAsia="Lexend Light" w:hAnsi="Lexend Light" w:cs="Lexend Light"/>
          <w:sz w:val="20"/>
          <w:szCs w:val="20"/>
          <w:lang w:val="es-CO"/>
        </w:rPr>
        <w:t>A continuación, se detallan los elementos que conforman este modelo:</w:t>
      </w:r>
    </w:p>
    <w:p w14:paraId="638583AD" w14:textId="77777777" w:rsidR="00282A75" w:rsidRPr="00282A75" w:rsidRDefault="00282A75" w:rsidP="00282A75">
      <w:pPr>
        <w:pStyle w:val="Ttulo2"/>
      </w:pPr>
      <w:r w:rsidRPr="00282A75">
        <w:t>Ejes Estratégicos</w:t>
      </w:r>
    </w:p>
    <w:p w14:paraId="14196063" w14:textId="77777777" w:rsid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El programa aborda la lucha contra la corrupción desde un enfoque de acción colectiva basado en los siguientes ejes:</w:t>
      </w:r>
    </w:p>
    <w:p w14:paraId="705DD211" w14:textId="77777777" w:rsidR="007E1E1C" w:rsidRPr="00282A75" w:rsidRDefault="007E1E1C" w:rsidP="00282A75">
      <w:pPr>
        <w:pBdr>
          <w:top w:val="nil"/>
          <w:left w:val="nil"/>
          <w:bottom w:val="nil"/>
          <w:right w:val="nil"/>
          <w:between w:val="nil"/>
        </w:pBdr>
        <w:jc w:val="both"/>
        <w:rPr>
          <w:rFonts w:ascii="Lexend Light" w:eastAsia="Lexend Light" w:hAnsi="Lexend Light" w:cs="Lexend Light"/>
          <w:sz w:val="20"/>
          <w:szCs w:val="20"/>
          <w:lang w:val="es-CO"/>
        </w:rPr>
      </w:pPr>
    </w:p>
    <w:p w14:paraId="2C9375F5" w14:textId="5F516DDC" w:rsidR="00282A75" w:rsidRPr="00282A75" w:rsidRDefault="00282A75" w:rsidP="00282A75">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Transparencia: Se define como la garantía de que la información distrital esté disponible con calidad, pertinencia y oportunidad para facilitar el control social y la participación ciudadana.</w:t>
      </w:r>
    </w:p>
    <w:p w14:paraId="3020F020" w14:textId="35E0E17E" w:rsidR="00282A75" w:rsidRPr="00282A75" w:rsidRDefault="00282A75" w:rsidP="00282A75">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Integridad: Se refiere a la incorporación consciente de valores y principios éticos en los servidores públicos, priorizando el interés general y la responsabilidad social sobre los intereses particulares.</w:t>
      </w:r>
    </w:p>
    <w:p w14:paraId="7AA8D755" w14:textId="455DB3E2" w:rsidR="00282A75" w:rsidRPr="00282A75" w:rsidRDefault="00282A75" w:rsidP="00282A75">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lastRenderedPageBreak/>
        <w:t>Monitoreo y Control: Comprende las acciones destinadas a prevenir, detectar, controlar y sancionar posibles hechos de corrupción.</w:t>
      </w:r>
    </w:p>
    <w:p w14:paraId="3A59E4AB" w14:textId="77777777" w:rsidR="00282A75" w:rsidRPr="00282A75" w:rsidRDefault="00282A75" w:rsidP="006B0BA1">
      <w:pPr>
        <w:pStyle w:val="Ttulo2"/>
      </w:pPr>
      <w:r w:rsidRPr="00282A75">
        <w:t>Componentes del Programa</w:t>
      </w:r>
    </w:p>
    <w:p w14:paraId="25A659A7" w14:textId="77777777" w:rsidR="00282A75" w:rsidRP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Para la transición de los antiguos planes a los nuevos programas, Bogotá organiza su gestión en nueve componentes agrupados bajo los ejes anteriormente mencionados:</w:t>
      </w:r>
    </w:p>
    <w:p w14:paraId="79CA13DC" w14:textId="3F43432D" w:rsidR="00282A75" w:rsidRPr="00282A75" w:rsidRDefault="00282A75" w:rsidP="006B0BA1">
      <w:pPr>
        <w:pStyle w:val="Ttulo3"/>
        <w:rPr>
          <w:lang w:val="es-CO"/>
        </w:rPr>
      </w:pPr>
      <w:r w:rsidRPr="00282A75">
        <w:rPr>
          <w:lang w:val="es-CO"/>
        </w:rPr>
        <w:t>Bajo el eje de Transparencia:</w:t>
      </w:r>
    </w:p>
    <w:p w14:paraId="5868E7F7" w14:textId="322F1F91"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1: Mecanismos para la transparencia y acceso a la información pública.</w:t>
      </w:r>
    </w:p>
    <w:p w14:paraId="4B97D11C" w14:textId="105B67AA"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2: Rendición de cuentas.</w:t>
      </w:r>
    </w:p>
    <w:p w14:paraId="1A3E0BF8" w14:textId="1034DD40"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3: Mecanismos para mejorar la atención y servicio a la ciudadanía.</w:t>
      </w:r>
    </w:p>
    <w:p w14:paraId="595DF90B" w14:textId="77924222"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4: Racionalización de trámites.</w:t>
      </w:r>
    </w:p>
    <w:p w14:paraId="0527ED92" w14:textId="2C055CA3"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5: Apertura de información y datos abiertos.</w:t>
      </w:r>
    </w:p>
    <w:p w14:paraId="67D1B3F5" w14:textId="6D303A69"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6: Participación e innovación en la gestión pública.</w:t>
      </w:r>
    </w:p>
    <w:p w14:paraId="406FC4EF" w14:textId="77777777" w:rsidR="006B0BA1" w:rsidRDefault="006B0BA1" w:rsidP="00282A75">
      <w:pPr>
        <w:pBdr>
          <w:top w:val="nil"/>
          <w:left w:val="nil"/>
          <w:bottom w:val="nil"/>
          <w:right w:val="nil"/>
          <w:between w:val="nil"/>
        </w:pBdr>
        <w:jc w:val="both"/>
        <w:rPr>
          <w:rFonts w:ascii="Lexend Light" w:eastAsia="Lexend Light" w:hAnsi="Lexend Light" w:cs="Lexend Light"/>
          <w:sz w:val="20"/>
          <w:szCs w:val="20"/>
          <w:lang w:val="es-CO"/>
        </w:rPr>
      </w:pPr>
    </w:p>
    <w:p w14:paraId="72F1A780" w14:textId="29DDE390" w:rsidR="00282A75" w:rsidRPr="00282A75" w:rsidRDefault="00282A75" w:rsidP="006B0BA1">
      <w:pPr>
        <w:pStyle w:val="Ttulo3"/>
        <w:rPr>
          <w:lang w:val="es-CO"/>
        </w:rPr>
      </w:pPr>
      <w:r w:rsidRPr="00282A75">
        <w:rPr>
          <w:lang w:val="es-CO"/>
        </w:rPr>
        <w:t>Bajo el eje de Integridad:</w:t>
      </w:r>
    </w:p>
    <w:p w14:paraId="3BB3D01D" w14:textId="2A32D8D7"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7: Promoción de la integridad y la ética pública (incluye la gestión preventiva de conflictos de interés y prácticas antisoborno).</w:t>
      </w:r>
    </w:p>
    <w:p w14:paraId="0AB06683" w14:textId="77777777" w:rsidR="006B0BA1" w:rsidRDefault="006B0BA1" w:rsidP="00282A75">
      <w:pPr>
        <w:pBdr>
          <w:top w:val="nil"/>
          <w:left w:val="nil"/>
          <w:bottom w:val="nil"/>
          <w:right w:val="nil"/>
          <w:between w:val="nil"/>
        </w:pBdr>
        <w:jc w:val="both"/>
        <w:rPr>
          <w:rFonts w:ascii="Lexend Light" w:eastAsia="Lexend Light" w:hAnsi="Lexend Light" w:cs="Lexend Light"/>
          <w:sz w:val="20"/>
          <w:szCs w:val="20"/>
          <w:lang w:val="es-CO"/>
        </w:rPr>
      </w:pPr>
    </w:p>
    <w:p w14:paraId="7C43B0B0" w14:textId="1AE2D274" w:rsidR="00282A75" w:rsidRPr="00282A75" w:rsidRDefault="00282A75" w:rsidP="006B0BA1">
      <w:pPr>
        <w:pStyle w:val="Ttulo3"/>
        <w:rPr>
          <w:lang w:val="es-CO"/>
        </w:rPr>
      </w:pPr>
      <w:r w:rsidRPr="00282A75">
        <w:rPr>
          <w:lang w:val="es-CO"/>
        </w:rPr>
        <w:t>Bajo el eje de Monitoreo y Control:</w:t>
      </w:r>
    </w:p>
    <w:p w14:paraId="4BDE4D11" w14:textId="40F974F3"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8: Gestión de riesgos de corrupción y mapas de riesgo.</w:t>
      </w:r>
    </w:p>
    <w:p w14:paraId="2A3F6C34" w14:textId="553C673E"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Componente 9: Medidas de debida diligencia y prevención del lavado de activos y financiación del terrorismo.</w:t>
      </w:r>
    </w:p>
    <w:p w14:paraId="7F1753DE" w14:textId="77777777" w:rsidR="006B0BA1" w:rsidRDefault="006B0BA1" w:rsidP="00282A75">
      <w:pPr>
        <w:pBdr>
          <w:top w:val="nil"/>
          <w:left w:val="nil"/>
          <w:bottom w:val="nil"/>
          <w:right w:val="nil"/>
          <w:between w:val="nil"/>
        </w:pBdr>
        <w:jc w:val="both"/>
        <w:rPr>
          <w:rFonts w:ascii="Lexend Light" w:eastAsia="Lexend Light" w:hAnsi="Lexend Light" w:cs="Lexend Light"/>
          <w:b/>
          <w:bCs/>
          <w:sz w:val="20"/>
          <w:szCs w:val="20"/>
          <w:lang w:val="es-CO"/>
        </w:rPr>
      </w:pPr>
    </w:p>
    <w:p w14:paraId="5E26D75D" w14:textId="2C59762C" w:rsidR="00282A75" w:rsidRPr="00282A75" w:rsidRDefault="00282A75" w:rsidP="006B0BA1">
      <w:pPr>
        <w:pStyle w:val="Ttulo2"/>
      </w:pPr>
      <w:r w:rsidRPr="00282A75">
        <w:t>Elementos de Conexión</w:t>
      </w:r>
    </w:p>
    <w:p w14:paraId="1320E7C6" w14:textId="77777777" w:rsid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La ejecución de la estrategia se basa en tres procesos fundamentales para conectar a los actores:</w:t>
      </w:r>
    </w:p>
    <w:p w14:paraId="45C92305" w14:textId="77777777" w:rsidR="007E1E1C" w:rsidRPr="00282A75" w:rsidRDefault="007E1E1C" w:rsidP="00282A75">
      <w:pPr>
        <w:pBdr>
          <w:top w:val="nil"/>
          <w:left w:val="nil"/>
          <w:bottom w:val="nil"/>
          <w:right w:val="nil"/>
          <w:between w:val="nil"/>
        </w:pBdr>
        <w:jc w:val="both"/>
        <w:rPr>
          <w:rFonts w:ascii="Lexend Light" w:eastAsia="Lexend Light" w:hAnsi="Lexend Light" w:cs="Lexend Light"/>
          <w:sz w:val="20"/>
          <w:szCs w:val="20"/>
          <w:lang w:val="es-CO"/>
        </w:rPr>
      </w:pPr>
    </w:p>
    <w:p w14:paraId="70685A5D" w14:textId="3A0507B5"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Articulación: Identificación de actores relevantes (academia, ONG, sector privado) para generar sinergias.</w:t>
      </w:r>
    </w:p>
    <w:p w14:paraId="6E5F8DE7" w14:textId="67AFDC6F"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Activación: Llamado a la acción mediante compromisos y corresponsabilidad de la ciudadanía y otros sectores.</w:t>
      </w:r>
    </w:p>
    <w:p w14:paraId="62D3DB51" w14:textId="50B16F7A" w:rsidR="00282A75" w:rsidRPr="006B0BA1" w:rsidRDefault="00282A75" w:rsidP="006B0BA1">
      <w:pPr>
        <w:pStyle w:val="Prrafodelista"/>
        <w:numPr>
          <w:ilvl w:val="0"/>
          <w:numId w:val="7"/>
        </w:numPr>
        <w:pBdr>
          <w:top w:val="nil"/>
          <w:left w:val="nil"/>
          <w:bottom w:val="nil"/>
          <w:right w:val="nil"/>
          <w:between w:val="nil"/>
        </w:pBdr>
        <w:jc w:val="both"/>
        <w:rPr>
          <w:rFonts w:ascii="Lexend Light" w:eastAsia="Lexend Light" w:hAnsi="Lexend Light" w:cs="Lexend Light"/>
          <w:sz w:val="20"/>
          <w:szCs w:val="20"/>
          <w:lang w:val="es-CO"/>
        </w:rPr>
      </w:pPr>
      <w:r w:rsidRPr="006B0BA1">
        <w:rPr>
          <w:rFonts w:ascii="Lexend Light" w:eastAsia="Lexend Light" w:hAnsi="Lexend Light" w:cs="Lexend Light"/>
          <w:sz w:val="20"/>
          <w:szCs w:val="20"/>
          <w:lang w:val="es-CO"/>
        </w:rPr>
        <w:t>Fortalecimiento: Mejora continua de procesos institucionales mediante tecnología y herramientas de información.</w:t>
      </w:r>
    </w:p>
    <w:p w14:paraId="7CB27D3E" w14:textId="77777777" w:rsidR="006B0BA1" w:rsidRDefault="006B0BA1" w:rsidP="00282A75">
      <w:pPr>
        <w:pBdr>
          <w:top w:val="nil"/>
          <w:left w:val="nil"/>
          <w:bottom w:val="nil"/>
          <w:right w:val="nil"/>
          <w:between w:val="nil"/>
        </w:pBdr>
        <w:jc w:val="both"/>
        <w:rPr>
          <w:rFonts w:ascii="Lexend Light" w:eastAsia="Lexend Light" w:hAnsi="Lexend Light" w:cs="Lexend Light"/>
          <w:sz w:val="20"/>
          <w:szCs w:val="20"/>
          <w:lang w:val="es-CO"/>
        </w:rPr>
      </w:pPr>
    </w:p>
    <w:p w14:paraId="74918AC3" w14:textId="1B573C56" w:rsidR="00282A75" w:rsidRP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sidRPr="00282A75">
        <w:rPr>
          <w:rFonts w:ascii="Lexend Light" w:eastAsia="Lexend Light" w:hAnsi="Lexend Light" w:cs="Lexend Light"/>
          <w:sz w:val="20"/>
          <w:szCs w:val="20"/>
          <w:lang w:val="es-CO"/>
        </w:rPr>
        <w:t>El modelo de gestión se sustenta en los principios de corresponsabilidad, pertenencia, entendida como la apropiación del interés general y complementariedad, elementos fundamentales para evitar esfuerzos aislados y garantizar la cohesión en la administración pública. Esta arquitectura integral proporciona una hoja de ruta clara para transitar de la intención a la acción, adoptando un enfoque sistemático que fortalece la integridad institucional y asegura la sostenibilidad de los procesos estratégicos.</w:t>
      </w:r>
    </w:p>
    <w:p w14:paraId="30DECD03" w14:textId="77777777" w:rsidR="006B0BA1" w:rsidRDefault="006B0BA1" w:rsidP="00282A75">
      <w:pPr>
        <w:pBdr>
          <w:top w:val="nil"/>
          <w:left w:val="nil"/>
          <w:bottom w:val="nil"/>
          <w:right w:val="nil"/>
          <w:between w:val="nil"/>
        </w:pBdr>
        <w:jc w:val="both"/>
        <w:rPr>
          <w:rFonts w:ascii="Lexend Light" w:eastAsia="Lexend Light" w:hAnsi="Lexend Light" w:cs="Lexend Light"/>
          <w:sz w:val="20"/>
          <w:szCs w:val="20"/>
          <w:lang w:val="es-CO"/>
        </w:rPr>
      </w:pPr>
    </w:p>
    <w:p w14:paraId="320C2C66" w14:textId="465FE839" w:rsidR="00282A75" w:rsidRDefault="00282A75" w:rsidP="00282A75">
      <w:pPr>
        <w:pBdr>
          <w:top w:val="nil"/>
          <w:left w:val="nil"/>
          <w:bottom w:val="nil"/>
          <w:right w:val="nil"/>
          <w:between w:val="nil"/>
        </w:pBdr>
        <w:jc w:val="both"/>
        <w:rPr>
          <w:rFonts w:ascii="Lexend Light" w:eastAsia="Lexend Light" w:hAnsi="Lexend Light" w:cs="Lexend Light"/>
          <w:sz w:val="20"/>
          <w:szCs w:val="20"/>
          <w:lang w:val="es-CO"/>
        </w:rPr>
      </w:pPr>
      <w:r w:rsidRPr="004D52A8">
        <w:rPr>
          <w:rFonts w:ascii="Lexend Light" w:eastAsia="Lexend Light" w:hAnsi="Lexend Light" w:cs="Lexend Light"/>
          <w:sz w:val="20"/>
          <w:szCs w:val="20"/>
          <w:lang w:val="es-CO"/>
        </w:rPr>
        <w:t xml:space="preserve">La implementación del Programa de Transparencia y Ética Pública </w:t>
      </w:r>
      <w:r w:rsidRPr="00282A75">
        <w:rPr>
          <w:rFonts w:ascii="Lexend Light" w:eastAsia="Lexend Light" w:hAnsi="Lexend Light" w:cs="Lexend Light"/>
          <w:sz w:val="20"/>
          <w:szCs w:val="20"/>
          <w:lang w:val="es-CO"/>
        </w:rPr>
        <w:t>r</w:t>
      </w:r>
      <w:r w:rsidRPr="004D52A8">
        <w:rPr>
          <w:rFonts w:ascii="Lexend Light" w:eastAsia="Lexend Light" w:hAnsi="Lexend Light" w:cs="Lexend Light"/>
          <w:sz w:val="20"/>
          <w:szCs w:val="20"/>
          <w:lang w:val="es-CO"/>
        </w:rPr>
        <w:t>epresenta un compromiso tangible con la construcción de un Estado donde los recursos públicos se destinan al bienestar colectivo</w:t>
      </w:r>
      <w:r w:rsidRPr="00282A75">
        <w:rPr>
          <w:rFonts w:ascii="Lexend Light" w:eastAsia="Lexend Light" w:hAnsi="Lexend Light" w:cs="Lexend Light"/>
          <w:sz w:val="20"/>
          <w:szCs w:val="20"/>
          <w:lang w:val="es-CO"/>
        </w:rPr>
        <w:t>. Desde la FUGA se estructura el PTEP para la vigencia 2026 a través del anexo PN-FTPL-02 Programa de Transparencia y Ética Pública FUGA</w:t>
      </w:r>
      <w:r w:rsidR="00F51E63">
        <w:rPr>
          <w:rFonts w:ascii="Lexend Light" w:eastAsia="Lexend Light" w:hAnsi="Lexend Light" w:cs="Lexend Light"/>
          <w:sz w:val="20"/>
          <w:szCs w:val="20"/>
          <w:lang w:val="es-CO"/>
        </w:rPr>
        <w:t>.</w:t>
      </w:r>
    </w:p>
    <w:p w14:paraId="46B60422" w14:textId="77777777" w:rsidR="00F51E63" w:rsidRDefault="00F51E63" w:rsidP="00282A75">
      <w:pPr>
        <w:pBdr>
          <w:top w:val="nil"/>
          <w:left w:val="nil"/>
          <w:bottom w:val="nil"/>
          <w:right w:val="nil"/>
          <w:between w:val="nil"/>
        </w:pBdr>
        <w:jc w:val="both"/>
        <w:rPr>
          <w:rFonts w:ascii="Lexend Light" w:eastAsia="Lexend Light" w:hAnsi="Lexend Light" w:cs="Lexend Light"/>
          <w:sz w:val="20"/>
          <w:szCs w:val="20"/>
          <w:lang w:val="es-CO"/>
        </w:rPr>
      </w:pPr>
    </w:p>
    <w:p w14:paraId="763BD2CC" w14:textId="07B7CBAC" w:rsidR="00DF513F" w:rsidRDefault="008A124C" w:rsidP="00105DD1">
      <w:pPr>
        <w:pStyle w:val="Ttulo2"/>
      </w:pPr>
      <w:r>
        <w:t>Formulación Programa de Transparencia 2026</w:t>
      </w:r>
    </w:p>
    <w:p w14:paraId="4994C0A5" w14:textId="77777777" w:rsidR="00F51E63" w:rsidRDefault="00F51E63">
      <w:pPr>
        <w:pBdr>
          <w:top w:val="nil"/>
          <w:left w:val="nil"/>
          <w:bottom w:val="nil"/>
          <w:right w:val="nil"/>
          <w:between w:val="nil"/>
        </w:pBdr>
        <w:jc w:val="both"/>
      </w:pPr>
    </w:p>
    <w:p w14:paraId="007B1A47" w14:textId="2A2E3ECD" w:rsidR="00C36704" w:rsidRDefault="00F51E63" w:rsidP="00C36704">
      <w:pPr>
        <w:pBdr>
          <w:top w:val="nil"/>
          <w:left w:val="nil"/>
          <w:bottom w:val="nil"/>
          <w:right w:val="nil"/>
          <w:between w:val="nil"/>
        </w:pBdr>
        <w:jc w:val="both"/>
        <w:rPr>
          <w:rFonts w:ascii="Lexend Light" w:eastAsia="Lexend Light" w:hAnsi="Lexend Light" w:cs="Lexend Light"/>
          <w:sz w:val="20"/>
          <w:szCs w:val="20"/>
          <w:lang w:val="es-CO"/>
        </w:rPr>
      </w:pPr>
      <w:r w:rsidRPr="00F51E63">
        <w:rPr>
          <w:rFonts w:ascii="Lexend Light" w:eastAsia="Lexend Light" w:hAnsi="Lexend Light" w:cs="Lexend Light"/>
          <w:sz w:val="20"/>
          <w:szCs w:val="20"/>
          <w:lang w:val="es-CO"/>
        </w:rPr>
        <w:t xml:space="preserve">Es </w:t>
      </w:r>
      <w:r w:rsidR="00C36704" w:rsidRPr="00F51E63">
        <w:rPr>
          <w:rFonts w:ascii="Lexend Light" w:eastAsia="Lexend Light" w:hAnsi="Lexend Light" w:cs="Lexend Light"/>
          <w:sz w:val="20"/>
          <w:szCs w:val="20"/>
          <w:lang w:val="es-CO"/>
        </w:rPr>
        <w:t>así</w:t>
      </w:r>
      <w:r w:rsidR="00C36704">
        <w:rPr>
          <w:rFonts w:ascii="Lexend Light" w:eastAsia="Lexend Light" w:hAnsi="Lexend Light" w:cs="Lexend Light"/>
          <w:sz w:val="20"/>
          <w:szCs w:val="20"/>
          <w:lang w:val="es-CO"/>
        </w:rPr>
        <w:t>,</w:t>
      </w:r>
      <w:r w:rsidRPr="00F51E63">
        <w:rPr>
          <w:rFonts w:ascii="Lexend Light" w:eastAsia="Lexend Light" w:hAnsi="Lexend Light" w:cs="Lexend Light"/>
          <w:sz w:val="20"/>
          <w:szCs w:val="20"/>
          <w:lang w:val="es-CO"/>
        </w:rPr>
        <w:t xml:space="preserve"> como desde la FUGA para la vigencia 2026,</w:t>
      </w:r>
      <w:r w:rsidR="00C36704">
        <w:rPr>
          <w:rFonts w:ascii="Lexend Light" w:eastAsia="Lexend Light" w:hAnsi="Lexend Light" w:cs="Lexend Light"/>
          <w:sz w:val="20"/>
          <w:szCs w:val="20"/>
          <w:lang w:val="es-CO"/>
        </w:rPr>
        <w:t xml:space="preserve"> trabajamos en l</w:t>
      </w:r>
      <w:r w:rsidR="00C36704" w:rsidRPr="00C36704">
        <w:rPr>
          <w:rFonts w:ascii="Lexend Light" w:eastAsia="Lexend Light" w:hAnsi="Lexend Light" w:cs="Lexend Light"/>
          <w:sz w:val="20"/>
          <w:szCs w:val="20"/>
          <w:lang w:val="es-CO"/>
        </w:rPr>
        <w:t xml:space="preserve">a formulación de actividades </w:t>
      </w:r>
      <w:r w:rsidR="00C36704">
        <w:rPr>
          <w:rFonts w:ascii="Lexend Light" w:eastAsia="Lexend Light" w:hAnsi="Lexend Light" w:cs="Lexend Light"/>
          <w:sz w:val="20"/>
          <w:szCs w:val="20"/>
          <w:lang w:val="es-CO"/>
        </w:rPr>
        <w:t xml:space="preserve">para </w:t>
      </w:r>
      <w:r w:rsidR="008D64B1">
        <w:rPr>
          <w:rFonts w:ascii="Lexend Light" w:eastAsia="Lexend Light" w:hAnsi="Lexend Light" w:cs="Lexend Light"/>
          <w:sz w:val="20"/>
          <w:szCs w:val="20"/>
          <w:lang w:val="es-CO"/>
        </w:rPr>
        <w:t xml:space="preserve">el </w:t>
      </w:r>
      <w:r w:rsidR="008D64B1" w:rsidRPr="00C36704">
        <w:rPr>
          <w:rFonts w:ascii="Lexend Light" w:eastAsia="Lexend Light" w:hAnsi="Lexend Light" w:cs="Lexend Light"/>
          <w:sz w:val="20"/>
          <w:szCs w:val="20"/>
          <w:lang w:val="es-CO"/>
        </w:rPr>
        <w:t>Programa</w:t>
      </w:r>
      <w:r w:rsidR="00C36704" w:rsidRPr="00C36704">
        <w:rPr>
          <w:rFonts w:ascii="Lexend Light" w:eastAsia="Lexend Light" w:hAnsi="Lexend Light" w:cs="Lexend Light"/>
          <w:sz w:val="20"/>
          <w:szCs w:val="20"/>
          <w:lang w:val="es-CO"/>
        </w:rPr>
        <w:t xml:space="preserve"> de Transparencia y Ética Pública – PTEP FUGA 2026</w:t>
      </w:r>
      <w:r w:rsidR="00C36704">
        <w:rPr>
          <w:rFonts w:ascii="Lexend Light" w:eastAsia="Lexend Light" w:hAnsi="Lexend Light" w:cs="Lexend Light"/>
          <w:sz w:val="20"/>
          <w:szCs w:val="20"/>
          <w:lang w:val="es-CO"/>
        </w:rPr>
        <w:t>,</w:t>
      </w:r>
      <w:r w:rsidR="00C36704" w:rsidRPr="00C36704">
        <w:rPr>
          <w:rFonts w:ascii="Lexend Light" w:eastAsia="Lexend Light" w:hAnsi="Lexend Light" w:cs="Lexend Light"/>
          <w:sz w:val="20"/>
          <w:szCs w:val="20"/>
          <w:lang w:val="es-CO"/>
        </w:rPr>
        <w:t xml:space="preserve"> fundamenta</w:t>
      </w:r>
      <w:r w:rsidR="00C36704">
        <w:rPr>
          <w:rFonts w:ascii="Lexend Light" w:eastAsia="Lexend Light" w:hAnsi="Lexend Light" w:cs="Lexend Light"/>
          <w:sz w:val="20"/>
          <w:szCs w:val="20"/>
          <w:lang w:val="es-CO"/>
        </w:rPr>
        <w:t>do</w:t>
      </w:r>
      <w:r w:rsidR="00C36704" w:rsidRPr="00C36704">
        <w:rPr>
          <w:rFonts w:ascii="Lexend Light" w:eastAsia="Lexend Light" w:hAnsi="Lexend Light" w:cs="Lexend Light"/>
          <w:sz w:val="20"/>
          <w:szCs w:val="20"/>
          <w:lang w:val="es-CO"/>
        </w:rPr>
        <w:t xml:space="preserve"> en un ejercicio técnico de planeación que articula los lineamientos normativos vigentes, el análisis de riesgos de corrupción y las prioridades estratégicas de la entidad. Dichas actividades se estructuran conforme a los componentes definidos en el anexo PN-FTPL-02, garantizando coherencia entre los objetivos del programa y las acciones previstas para su implementación. Este enfoque permite orientar los esfuerzos institucionales hacia la prevención de prácticas indebidas, el fortalecimiento de la confianza ciudadana y la generación de valor público.</w:t>
      </w:r>
    </w:p>
    <w:p w14:paraId="7D76C32D" w14:textId="77777777" w:rsidR="00C36704" w:rsidRP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p>
    <w:p w14:paraId="0DABCE11" w14:textId="77777777" w:rsidR="00C36704" w:rsidRP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r w:rsidRPr="00C36704">
        <w:rPr>
          <w:rFonts w:ascii="Lexend Light" w:eastAsia="Lexend Light" w:hAnsi="Lexend Light" w:cs="Lexend Light"/>
          <w:sz w:val="20"/>
          <w:szCs w:val="20"/>
          <w:lang w:val="es-CO"/>
        </w:rPr>
        <w:t xml:space="preserve">En el marco del </w:t>
      </w:r>
      <w:r w:rsidRPr="00C36704">
        <w:rPr>
          <w:rFonts w:ascii="Lexend Light" w:eastAsia="Lexend Light" w:hAnsi="Lexend Light" w:cs="Lexend Light"/>
          <w:b/>
          <w:bCs/>
          <w:sz w:val="20"/>
          <w:szCs w:val="20"/>
          <w:lang w:val="es-CO"/>
        </w:rPr>
        <w:t>eje de Transparencia</w:t>
      </w:r>
      <w:r w:rsidRPr="00C36704">
        <w:rPr>
          <w:rFonts w:ascii="Lexend Light" w:eastAsia="Lexend Light" w:hAnsi="Lexend Light" w:cs="Lexend Light"/>
          <w:sz w:val="20"/>
          <w:szCs w:val="20"/>
          <w:lang w:val="es-CO"/>
        </w:rPr>
        <w:t>, las actividades programadas para la vigencia 2026 se orientan a fortalecer los mecanismos de acceso a la información pública, la rendición de cuentas, la atención a la ciudadanía, la racionalización de trámites, la apertura de datos y la participación e innovación en la gestión pública. Estas acciones buscan asegurar que la información producida por la FUGA sea publicada de manera oportuna, comprensible y accesible, facilitando el ejercicio del control social y promoviendo una relación más abierta entre la entidad y la ciudadanía, en concordancia con los principios de gobierno abierto.</w:t>
      </w:r>
    </w:p>
    <w:p w14:paraId="0B95CC80" w14:textId="77777777"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p>
    <w:p w14:paraId="130D2577" w14:textId="502A8DFC" w:rsidR="00C36704" w:rsidRP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r w:rsidRPr="00C36704">
        <w:rPr>
          <w:rFonts w:ascii="Lexend Light" w:eastAsia="Lexend Light" w:hAnsi="Lexend Light" w:cs="Lexend Light"/>
          <w:sz w:val="20"/>
          <w:szCs w:val="20"/>
          <w:lang w:val="es-CO"/>
        </w:rPr>
        <w:t xml:space="preserve">Por su parte, el </w:t>
      </w:r>
      <w:r w:rsidRPr="00C36704">
        <w:rPr>
          <w:rFonts w:ascii="Lexend Light" w:eastAsia="Lexend Light" w:hAnsi="Lexend Light" w:cs="Lexend Light"/>
          <w:b/>
          <w:bCs/>
          <w:sz w:val="20"/>
          <w:szCs w:val="20"/>
          <w:lang w:val="es-CO"/>
        </w:rPr>
        <w:t>eje de Integridad</w:t>
      </w:r>
      <w:r w:rsidRPr="00C36704">
        <w:rPr>
          <w:rFonts w:ascii="Lexend Light" w:eastAsia="Lexend Light" w:hAnsi="Lexend Light" w:cs="Lexend Light"/>
          <w:sz w:val="20"/>
          <w:szCs w:val="20"/>
          <w:lang w:val="es-CO"/>
        </w:rPr>
        <w:t xml:space="preserve"> se materializa a través de actividades dirigidas a la promoción de la ética pública, la gestión preventiva de conflictos de interés y el fortalecimiento de comportamientos íntegros en los servidores públicos y contratistas. La programación para 2026 reconoce que la prevención de la corrupción requiere no solo controles formales, sino también el fortalecimiento de una cultura organizacional basada en valores, principios y el respeto por lo público, razón por la cual se priorizan acciones de formación, sensibilización y comunicación institucional.</w:t>
      </w:r>
    </w:p>
    <w:p w14:paraId="144F5E0A" w14:textId="77777777"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p>
    <w:p w14:paraId="7A63098D" w14:textId="0CD2F6B6"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r w:rsidRPr="00C36704">
        <w:rPr>
          <w:rFonts w:ascii="Lexend Light" w:eastAsia="Lexend Light" w:hAnsi="Lexend Light" w:cs="Lexend Light"/>
          <w:sz w:val="20"/>
          <w:szCs w:val="20"/>
          <w:lang w:val="es-CO"/>
        </w:rPr>
        <w:t xml:space="preserve">En cuanto al </w:t>
      </w:r>
      <w:r w:rsidRPr="00C36704">
        <w:rPr>
          <w:rFonts w:ascii="Lexend Light" w:eastAsia="Lexend Light" w:hAnsi="Lexend Light" w:cs="Lexend Light"/>
          <w:b/>
          <w:bCs/>
          <w:sz w:val="20"/>
          <w:szCs w:val="20"/>
          <w:lang w:val="es-CO"/>
        </w:rPr>
        <w:t>eje de Monitoreo y Control</w:t>
      </w:r>
      <w:r w:rsidRPr="00C36704">
        <w:rPr>
          <w:rFonts w:ascii="Lexend Light" w:eastAsia="Lexend Light" w:hAnsi="Lexend Light" w:cs="Lexend Light"/>
          <w:sz w:val="20"/>
          <w:szCs w:val="20"/>
          <w:lang w:val="es-CO"/>
        </w:rPr>
        <w:t>, las actividades definidas en el anexo PN-FTPL-02 se enfocan en la gestión de los riesgos de corrupción, la actualización y seguimiento de los mapas de riesgo, así como en la implementación de medidas de debida diligencia y prevención del lavado de activos y la financiación del terrorismo. Estas acciones permiten identificar de manera oportuna posibles vulnerabilidades en los procesos institucionales y adoptar medidas preventivas y correctivas que fortalezcan el sistema de control interno y la toma de decisiones informada.</w:t>
      </w:r>
    </w:p>
    <w:p w14:paraId="17BFAF33" w14:textId="77777777" w:rsidR="00105DD1" w:rsidRDefault="00105DD1" w:rsidP="00C36704">
      <w:pPr>
        <w:pBdr>
          <w:top w:val="nil"/>
          <w:left w:val="nil"/>
          <w:bottom w:val="nil"/>
          <w:right w:val="nil"/>
          <w:between w:val="nil"/>
        </w:pBdr>
        <w:jc w:val="both"/>
        <w:rPr>
          <w:rFonts w:ascii="Lexend Light" w:eastAsia="Lexend Light" w:hAnsi="Lexend Light" w:cs="Lexend Light"/>
          <w:sz w:val="20"/>
          <w:szCs w:val="20"/>
          <w:lang w:val="es-CO"/>
        </w:rPr>
      </w:pPr>
    </w:p>
    <w:p w14:paraId="311D5812" w14:textId="457BB1F8" w:rsidR="00105DD1" w:rsidRPr="00C36704" w:rsidRDefault="00105DD1" w:rsidP="00105DD1">
      <w:pPr>
        <w:pBdr>
          <w:top w:val="nil"/>
          <w:left w:val="nil"/>
          <w:bottom w:val="nil"/>
          <w:right w:val="nil"/>
          <w:between w:val="nil"/>
        </w:pBdr>
        <w:jc w:val="center"/>
        <w:rPr>
          <w:rFonts w:ascii="Lexend Light" w:eastAsia="Lexend Light" w:hAnsi="Lexend Light" w:cs="Lexend Light"/>
          <w:sz w:val="20"/>
          <w:szCs w:val="20"/>
          <w:lang w:val="es-CO"/>
        </w:rPr>
      </w:pPr>
      <w:r w:rsidRPr="00105DD1">
        <w:rPr>
          <w:rFonts w:ascii="Lexend Light" w:eastAsia="Lexend Light" w:hAnsi="Lexend Light" w:cs="Lexend Light"/>
          <w:sz w:val="20"/>
          <w:szCs w:val="20"/>
          <w:lang w:val="es-CO"/>
        </w:rPr>
        <w:lastRenderedPageBreak/>
        <w:drawing>
          <wp:inline distT="0" distB="0" distL="0" distR="0" wp14:anchorId="356744CC" wp14:editId="53B5A9F1">
            <wp:extent cx="3124200" cy="2939180"/>
            <wp:effectExtent l="0" t="0" r="0" b="0"/>
            <wp:docPr id="404578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78173" name=""/>
                    <pic:cNvPicPr/>
                  </pic:nvPicPr>
                  <pic:blipFill>
                    <a:blip r:embed="rId9"/>
                    <a:stretch>
                      <a:fillRect/>
                    </a:stretch>
                  </pic:blipFill>
                  <pic:spPr>
                    <a:xfrm>
                      <a:off x="0" y="0"/>
                      <a:ext cx="3136011" cy="2950292"/>
                    </a:xfrm>
                    <a:prstGeom prst="rect">
                      <a:avLst/>
                    </a:prstGeom>
                  </pic:spPr>
                </pic:pic>
              </a:graphicData>
            </a:graphic>
          </wp:inline>
        </w:drawing>
      </w:r>
    </w:p>
    <w:p w14:paraId="39DB1DD1" w14:textId="77777777"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p>
    <w:p w14:paraId="44725B13" w14:textId="08875B83"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r w:rsidRPr="00C36704">
        <w:rPr>
          <w:rFonts w:ascii="Lexend Light" w:eastAsia="Lexend Light" w:hAnsi="Lexend Light" w:cs="Lexend Light"/>
          <w:sz w:val="20"/>
          <w:szCs w:val="20"/>
          <w:lang w:val="es-CO"/>
        </w:rPr>
        <w:t>Finalmente, la formulación de las actividades del P</w:t>
      </w:r>
      <w:r>
        <w:rPr>
          <w:rFonts w:ascii="Lexend Light" w:eastAsia="Lexend Light" w:hAnsi="Lexend Light" w:cs="Lexend Light"/>
          <w:sz w:val="20"/>
          <w:szCs w:val="20"/>
          <w:lang w:val="es-CO"/>
        </w:rPr>
        <w:t xml:space="preserve">rograma de </w:t>
      </w:r>
      <w:r w:rsidRPr="00C36704">
        <w:rPr>
          <w:rFonts w:ascii="Lexend Light" w:eastAsia="Lexend Light" w:hAnsi="Lexend Light" w:cs="Lexend Light"/>
          <w:sz w:val="20"/>
          <w:szCs w:val="20"/>
          <w:lang w:val="es-CO"/>
        </w:rPr>
        <w:t>T</w:t>
      </w:r>
      <w:r>
        <w:rPr>
          <w:rFonts w:ascii="Lexend Light" w:eastAsia="Lexend Light" w:hAnsi="Lexend Light" w:cs="Lexend Light"/>
          <w:sz w:val="20"/>
          <w:szCs w:val="20"/>
          <w:lang w:val="es-CO"/>
        </w:rPr>
        <w:t xml:space="preserve">ransparencia y </w:t>
      </w:r>
      <w:r w:rsidRPr="00C36704">
        <w:rPr>
          <w:rFonts w:ascii="Lexend Light" w:eastAsia="Lexend Light" w:hAnsi="Lexend Light" w:cs="Lexend Light"/>
          <w:sz w:val="20"/>
          <w:szCs w:val="20"/>
          <w:lang w:val="es-CO"/>
        </w:rPr>
        <w:t>É</w:t>
      </w:r>
      <w:r>
        <w:rPr>
          <w:rFonts w:ascii="Lexend Light" w:eastAsia="Lexend Light" w:hAnsi="Lexend Light" w:cs="Lexend Light"/>
          <w:sz w:val="20"/>
          <w:szCs w:val="20"/>
          <w:lang w:val="es-CO"/>
        </w:rPr>
        <w:t xml:space="preserve">tica </w:t>
      </w:r>
      <w:r w:rsidRPr="00C36704">
        <w:rPr>
          <w:rFonts w:ascii="Lexend Light" w:eastAsia="Lexend Light" w:hAnsi="Lexend Light" w:cs="Lexend Light"/>
          <w:sz w:val="20"/>
          <w:szCs w:val="20"/>
          <w:lang w:val="es-CO"/>
        </w:rPr>
        <w:t>P</w:t>
      </w:r>
      <w:r>
        <w:rPr>
          <w:rFonts w:ascii="Lexend Light" w:eastAsia="Lexend Light" w:hAnsi="Lexend Light" w:cs="Lexend Light"/>
          <w:sz w:val="20"/>
          <w:szCs w:val="20"/>
          <w:lang w:val="es-CO"/>
        </w:rPr>
        <w:t>ublica</w:t>
      </w:r>
      <w:r w:rsidRPr="00C36704">
        <w:rPr>
          <w:rFonts w:ascii="Lexend Light" w:eastAsia="Lexend Light" w:hAnsi="Lexend Light" w:cs="Lexend Light"/>
          <w:sz w:val="20"/>
          <w:szCs w:val="20"/>
          <w:lang w:val="es-CO"/>
        </w:rPr>
        <w:t xml:space="preserve"> FUGA 2026 incorpora mecanismos de seguimiento y evaluación que permiten medir su avance, efectividad e impacto, en articulación con el Modelo Integrado de Planeación y Gestión – MIPG y el Modelo Bogotá con Integridad. De esta manera, el programa se consolida como una herramienta dinámica de gestión pública, orientada no solo al cumplimiento normativo, sino al fortalecimiento sostenido de la transparencia, la integridad y el control institucional, en beneficio de la ciudadanía y del interés general.</w:t>
      </w:r>
    </w:p>
    <w:p w14:paraId="4A99528D" w14:textId="77777777" w:rsid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p>
    <w:p w14:paraId="73894900" w14:textId="6A9DDCBC" w:rsidR="00C36704" w:rsidRPr="00C36704" w:rsidRDefault="00C36704" w:rsidP="00C36704">
      <w:pPr>
        <w:pBdr>
          <w:top w:val="nil"/>
          <w:left w:val="nil"/>
          <w:bottom w:val="nil"/>
          <w:right w:val="nil"/>
          <w:between w:val="nil"/>
        </w:pBdr>
        <w:jc w:val="both"/>
        <w:rPr>
          <w:rFonts w:ascii="Lexend Light" w:eastAsia="Lexend Light" w:hAnsi="Lexend Light" w:cs="Lexend Light"/>
          <w:sz w:val="20"/>
          <w:szCs w:val="20"/>
          <w:lang w:val="es-CO"/>
        </w:rPr>
      </w:pPr>
      <w:r>
        <w:rPr>
          <w:rFonts w:ascii="Lexend Light" w:eastAsia="Lexend Light" w:hAnsi="Lexend Light" w:cs="Lexend Light"/>
          <w:sz w:val="20"/>
          <w:szCs w:val="20"/>
          <w:lang w:val="es-CO"/>
        </w:rPr>
        <w:t xml:space="preserve">Dicho ejercicio fue puesto a consideración de la ciudadanía en la página web de la entidad y en las redes sociales de la FUGA en enero del 2026, con el propósito de lograr obtener retroalimentaciones que generen valor a nuestro programa y que además responda a las necesidades que como entidad esperamos suplir de acuerdo al plan de desarrollo distrital </w:t>
      </w:r>
      <w:r w:rsidRPr="00C36704">
        <w:rPr>
          <w:rFonts w:ascii="Lexend Light" w:eastAsia="Lexend Light" w:hAnsi="Lexend Light" w:cs="Lexend Light"/>
          <w:sz w:val="20"/>
          <w:szCs w:val="20"/>
          <w:lang w:val="es-CO"/>
        </w:rPr>
        <w:t>para el periodo 2024-2027</w:t>
      </w:r>
      <w:r w:rsidRPr="00C36704">
        <w:rPr>
          <w:rFonts w:ascii="Lexend Light" w:eastAsia="Lexend Light" w:hAnsi="Lexend Light" w:cs="Lexend Light"/>
          <w:sz w:val="20"/>
          <w:szCs w:val="20"/>
          <w:lang w:val="es-CO"/>
        </w:rPr>
        <w:t xml:space="preserve"> “</w:t>
      </w:r>
      <w:r w:rsidRPr="00C36704">
        <w:rPr>
          <w:rFonts w:ascii="Lexend Light" w:eastAsia="Lexend Light" w:hAnsi="Lexend Light" w:cs="Lexend Light"/>
          <w:sz w:val="20"/>
          <w:szCs w:val="20"/>
          <w:lang w:val="es-CO"/>
        </w:rPr>
        <w:t>Bogotá Camina Segura</w:t>
      </w:r>
      <w:r w:rsidRPr="00C36704">
        <w:rPr>
          <w:rFonts w:ascii="Lexend Light" w:eastAsia="Lexend Light" w:hAnsi="Lexend Light" w:cs="Lexend Light"/>
          <w:sz w:val="20"/>
          <w:szCs w:val="20"/>
          <w:lang w:val="es-CO"/>
        </w:rPr>
        <w:t>”.</w:t>
      </w:r>
      <w:r>
        <w:rPr>
          <w:rFonts w:ascii="Lexend Light" w:eastAsia="Lexend Light" w:hAnsi="Lexend Light" w:cs="Lexend Light"/>
          <w:sz w:val="20"/>
          <w:szCs w:val="20"/>
          <w:lang w:val="es-CO"/>
        </w:rPr>
        <w:t xml:space="preserve"> </w:t>
      </w:r>
    </w:p>
    <w:p w14:paraId="6666EC36" w14:textId="721CB8E6" w:rsidR="00F51E63" w:rsidRPr="00F51E63" w:rsidRDefault="00F51E63">
      <w:pPr>
        <w:pBdr>
          <w:top w:val="nil"/>
          <w:left w:val="nil"/>
          <w:bottom w:val="nil"/>
          <w:right w:val="nil"/>
          <w:between w:val="nil"/>
        </w:pBdr>
        <w:jc w:val="both"/>
        <w:rPr>
          <w:rFonts w:ascii="Lexend Light" w:eastAsia="Lexend Light" w:hAnsi="Lexend Light" w:cs="Lexend Light"/>
          <w:sz w:val="20"/>
          <w:szCs w:val="20"/>
          <w:lang w:val="es-CO"/>
        </w:rPr>
      </w:pPr>
    </w:p>
    <w:p w14:paraId="7012CE13" w14:textId="1626C970" w:rsidR="00DF513F" w:rsidRDefault="00C36704" w:rsidP="00C36704">
      <w:pPr>
        <w:pBdr>
          <w:top w:val="nil"/>
          <w:left w:val="nil"/>
          <w:bottom w:val="nil"/>
          <w:right w:val="nil"/>
          <w:between w:val="nil"/>
        </w:pBdr>
        <w:jc w:val="center"/>
        <w:rPr>
          <w:rFonts w:ascii="Lexend Light" w:eastAsia="Lexend Light" w:hAnsi="Lexend Light" w:cs="Lexend Light"/>
          <w:sz w:val="20"/>
          <w:szCs w:val="20"/>
        </w:rPr>
      </w:pPr>
      <w:r>
        <w:rPr>
          <w:noProof/>
        </w:rPr>
        <w:drawing>
          <wp:inline distT="0" distB="0" distL="0" distR="0" wp14:anchorId="138CF98E" wp14:editId="7915BB92">
            <wp:extent cx="2301240" cy="2733398"/>
            <wp:effectExtent l="0" t="0" r="3810" b="0"/>
            <wp:docPr id="1368984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433" cy="2739566"/>
                    </a:xfrm>
                    <a:prstGeom prst="rect">
                      <a:avLst/>
                    </a:prstGeom>
                    <a:noFill/>
                    <a:ln>
                      <a:noFill/>
                    </a:ln>
                  </pic:spPr>
                </pic:pic>
              </a:graphicData>
            </a:graphic>
          </wp:inline>
        </w:drawing>
      </w:r>
    </w:p>
    <w:p w14:paraId="4543EE02" w14:textId="77777777" w:rsidR="00C36704" w:rsidRDefault="00C36704" w:rsidP="00C36704">
      <w:pPr>
        <w:pBdr>
          <w:top w:val="nil"/>
          <w:left w:val="nil"/>
          <w:bottom w:val="nil"/>
          <w:right w:val="nil"/>
          <w:between w:val="nil"/>
        </w:pBdr>
        <w:rPr>
          <w:rFonts w:ascii="Lexend Light" w:eastAsia="Lexend Light" w:hAnsi="Lexend Light" w:cs="Lexend Light"/>
          <w:sz w:val="20"/>
          <w:szCs w:val="20"/>
        </w:rPr>
      </w:pPr>
    </w:p>
    <w:p w14:paraId="7DE6D4DA" w14:textId="6BB78D41" w:rsidR="00C36704" w:rsidRPr="00105DD1" w:rsidRDefault="00105DD1" w:rsidP="00105DD1">
      <w:pPr>
        <w:pBdr>
          <w:top w:val="nil"/>
          <w:left w:val="nil"/>
          <w:bottom w:val="nil"/>
          <w:right w:val="nil"/>
          <w:between w:val="nil"/>
        </w:pBdr>
        <w:jc w:val="both"/>
        <w:rPr>
          <w:rFonts w:ascii="Lexend Light" w:eastAsia="Lexend Light" w:hAnsi="Lexend Light" w:cs="Lexend Light"/>
          <w:sz w:val="20"/>
          <w:szCs w:val="20"/>
          <w:lang w:val="es-CO"/>
        </w:rPr>
      </w:pPr>
      <w:r w:rsidRPr="00105DD1">
        <w:rPr>
          <w:rFonts w:ascii="Lexend Light" w:eastAsia="Lexend Light" w:hAnsi="Lexend Light" w:cs="Lexend Light"/>
          <w:sz w:val="20"/>
          <w:szCs w:val="20"/>
          <w:lang w:val="es-CO"/>
        </w:rPr>
        <w:lastRenderedPageBreak/>
        <w:t>Finalmente,</w:t>
      </w:r>
      <w:r w:rsidR="00C36704" w:rsidRPr="00105DD1">
        <w:rPr>
          <w:rFonts w:ascii="Lexend Light" w:eastAsia="Lexend Light" w:hAnsi="Lexend Light" w:cs="Lexend Light"/>
          <w:sz w:val="20"/>
          <w:szCs w:val="20"/>
          <w:lang w:val="es-CO"/>
        </w:rPr>
        <w:t xml:space="preserve"> y luego de someter a consideración el Programa de Transparencia y Ética Publica 2026 </w:t>
      </w:r>
      <w:r w:rsidRPr="00105DD1">
        <w:rPr>
          <w:rFonts w:ascii="Lexend Light" w:eastAsia="Lexend Light" w:hAnsi="Lexend Light" w:cs="Lexend Light"/>
          <w:sz w:val="20"/>
          <w:szCs w:val="20"/>
          <w:lang w:val="es-CO"/>
        </w:rPr>
        <w:t xml:space="preserve">y </w:t>
      </w:r>
      <w:r w:rsidR="00C36704" w:rsidRPr="00105DD1">
        <w:rPr>
          <w:rFonts w:ascii="Lexend Light" w:eastAsia="Lexend Light" w:hAnsi="Lexend Light" w:cs="Lexend Light"/>
          <w:sz w:val="20"/>
          <w:szCs w:val="20"/>
          <w:lang w:val="es-CO"/>
        </w:rPr>
        <w:t>anexo</w:t>
      </w:r>
      <w:r w:rsidRPr="00105DD1">
        <w:rPr>
          <w:rFonts w:ascii="Lexend Light" w:eastAsia="Lexend Light" w:hAnsi="Lexend Light" w:cs="Lexend Light"/>
          <w:sz w:val="20"/>
          <w:szCs w:val="20"/>
          <w:lang w:val="es-CO"/>
        </w:rPr>
        <w:t>:</w:t>
      </w:r>
      <w:r w:rsidR="00C36704" w:rsidRPr="00105DD1">
        <w:rPr>
          <w:rFonts w:ascii="Lexend Light" w:eastAsia="Lexend Light" w:hAnsi="Lexend Light" w:cs="Lexend Light"/>
          <w:sz w:val="20"/>
          <w:szCs w:val="20"/>
          <w:lang w:val="es-CO"/>
        </w:rPr>
        <w:t xml:space="preserve"> </w:t>
      </w:r>
      <w:r w:rsidRPr="00105DD1">
        <w:rPr>
          <w:rFonts w:ascii="Lexend Light" w:eastAsia="Lexend Light" w:hAnsi="Lexend Light" w:cs="Lexend Light"/>
          <w:sz w:val="20"/>
          <w:szCs w:val="20"/>
          <w:lang w:val="es-CO"/>
        </w:rPr>
        <w:t>el mapa de riesgos de corrupción, se presentan</w:t>
      </w:r>
      <w:r>
        <w:rPr>
          <w:rFonts w:ascii="Lexend Light" w:eastAsia="Lexend Light" w:hAnsi="Lexend Light" w:cs="Lexend Light"/>
          <w:sz w:val="20"/>
          <w:szCs w:val="20"/>
          <w:lang w:val="es-CO"/>
        </w:rPr>
        <w:t xml:space="preserve"> el 28 de enero del 2026</w:t>
      </w:r>
      <w:r w:rsidRPr="00105DD1">
        <w:rPr>
          <w:rFonts w:ascii="Lexend Light" w:eastAsia="Lexend Light" w:hAnsi="Lexend Light" w:cs="Lexend Light"/>
          <w:sz w:val="20"/>
          <w:szCs w:val="20"/>
          <w:lang w:val="es-CO"/>
        </w:rPr>
        <w:t xml:space="preserve"> ante el Comité Institucional de Gestión y Desempeño </w:t>
      </w:r>
      <w:r>
        <w:rPr>
          <w:rFonts w:ascii="Lexend Light" w:eastAsia="Lexend Light" w:hAnsi="Lexend Light" w:cs="Lexend Light"/>
          <w:sz w:val="20"/>
          <w:szCs w:val="20"/>
          <w:lang w:val="es-CO"/>
        </w:rPr>
        <w:t xml:space="preserve">MIPG </w:t>
      </w:r>
      <w:r w:rsidRPr="00105DD1">
        <w:rPr>
          <w:rFonts w:ascii="Lexend Light" w:eastAsia="Lexend Light" w:hAnsi="Lexend Light" w:cs="Lexend Light"/>
          <w:sz w:val="20"/>
          <w:szCs w:val="20"/>
          <w:lang w:val="es-CO"/>
        </w:rPr>
        <w:t>tanto el programa</w:t>
      </w:r>
      <w:r>
        <w:rPr>
          <w:rFonts w:ascii="Lexend Light" w:eastAsia="Lexend Light" w:hAnsi="Lexend Light" w:cs="Lexend Light"/>
          <w:sz w:val="20"/>
          <w:szCs w:val="20"/>
          <w:lang w:val="es-CO"/>
        </w:rPr>
        <w:t xml:space="preserve"> 2026</w:t>
      </w:r>
      <w:r w:rsidRPr="00105DD1">
        <w:rPr>
          <w:rFonts w:ascii="Lexend Light" w:eastAsia="Lexend Light" w:hAnsi="Lexend Light" w:cs="Lexend Light"/>
          <w:sz w:val="20"/>
          <w:szCs w:val="20"/>
          <w:lang w:val="es-CO"/>
        </w:rPr>
        <w:t xml:space="preserve">, como el mapa de riesgos de corrupción </w:t>
      </w:r>
      <w:r>
        <w:rPr>
          <w:rFonts w:ascii="Lexend Light" w:eastAsia="Lexend Light" w:hAnsi="Lexend Light" w:cs="Lexend Light"/>
          <w:sz w:val="20"/>
          <w:szCs w:val="20"/>
          <w:lang w:val="es-CO"/>
        </w:rPr>
        <w:t xml:space="preserve">2026 Versión 1, </w:t>
      </w:r>
      <w:r w:rsidRPr="00105DD1">
        <w:rPr>
          <w:rFonts w:ascii="Lexend Light" w:eastAsia="Lexend Light" w:hAnsi="Lexend Light" w:cs="Lexend Light"/>
          <w:sz w:val="20"/>
          <w:szCs w:val="20"/>
          <w:lang w:val="es-CO"/>
        </w:rPr>
        <w:t xml:space="preserve">para su respectiva aprobación y posterior publicación. </w:t>
      </w:r>
    </w:p>
    <w:sectPr w:rsidR="00C36704" w:rsidRPr="00105DD1">
      <w:headerReference w:type="default" r:id="rId11"/>
      <w:pgSz w:w="11909" w:h="16834"/>
      <w:pgMar w:top="1700" w:right="850" w:bottom="1700" w:left="850" w:header="720" w:footer="720" w:gutter="0"/>
      <w:pgNumType w:start="1"/>
      <w:cols w:space="720" w:equalWidth="0">
        <w:col w:w="1020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B6432" w14:textId="77777777" w:rsidR="00393EB1" w:rsidRDefault="00393EB1">
      <w:pPr>
        <w:spacing w:line="240" w:lineRule="auto"/>
      </w:pPr>
      <w:r>
        <w:separator/>
      </w:r>
    </w:p>
  </w:endnote>
  <w:endnote w:type="continuationSeparator" w:id="0">
    <w:p w14:paraId="051D17BC" w14:textId="77777777" w:rsidR="00393EB1" w:rsidRDefault="00393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xend Light">
    <w:charset w:val="00"/>
    <w:family w:val="auto"/>
    <w:pitch w:val="default"/>
    <w:embedRegular r:id="rId1" w:fontKey="{23729FDB-09C1-423D-86F8-3E0338439F08}"/>
    <w:embedBold r:id="rId2" w:fontKey="{ED8A5059-F81F-4E7C-8171-85794D4A6B8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 Medium">
    <w:charset w:val="00"/>
    <w:family w:val="auto"/>
    <w:pitch w:val="variable"/>
    <w:sig w:usb0="2000020F" w:usb1="00000000" w:usb2="00000000" w:usb3="00000000" w:csb0="00000197" w:csb1="00000000"/>
    <w:embedRegular r:id="rId3" w:fontKey="{633E6BC8-549E-416C-9628-A926A4E859D2}"/>
  </w:font>
  <w:font w:name="Oswald">
    <w:charset w:val="00"/>
    <w:family w:val="auto"/>
    <w:pitch w:val="variable"/>
    <w:sig w:usb0="2000020F" w:usb1="00000000" w:usb2="00000000" w:usb3="00000000" w:csb0="00000197" w:csb1="00000000"/>
    <w:embedBold r:id="rId4" w:fontKey="{D3F7D604-B20F-48FE-8843-01423437847B}"/>
  </w:font>
  <w:font w:name="Calibri">
    <w:panose1 w:val="020F0502020204030204"/>
    <w:charset w:val="00"/>
    <w:family w:val="swiss"/>
    <w:pitch w:val="variable"/>
    <w:sig w:usb0="E4002EFF" w:usb1="C200247B" w:usb2="00000009" w:usb3="00000000" w:csb0="000001FF" w:csb1="00000000"/>
    <w:embedRegular r:id="rId5" w:fontKey="{33024F66-A29A-4D2C-B784-EB353D29AF74}"/>
  </w:font>
  <w:font w:name="Cambria">
    <w:panose1 w:val="02040503050406030204"/>
    <w:charset w:val="00"/>
    <w:family w:val="roman"/>
    <w:pitch w:val="variable"/>
    <w:sig w:usb0="E00006FF" w:usb1="420024FF" w:usb2="02000000" w:usb3="00000000" w:csb0="0000019F" w:csb1="00000000"/>
    <w:embedRegular r:id="rId6" w:fontKey="{9E55EEFB-5E7B-4C11-BC64-87DB319F7A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73560" w14:textId="77777777" w:rsidR="00393EB1" w:rsidRDefault="00393EB1">
      <w:pPr>
        <w:spacing w:line="240" w:lineRule="auto"/>
      </w:pPr>
      <w:r>
        <w:separator/>
      </w:r>
    </w:p>
  </w:footnote>
  <w:footnote w:type="continuationSeparator" w:id="0">
    <w:p w14:paraId="48A180DF" w14:textId="77777777" w:rsidR="00393EB1" w:rsidRDefault="00393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0DCC" w14:textId="77777777" w:rsidR="00DF513F" w:rsidRDefault="00000000">
    <w:r>
      <w:pict w14:anchorId="355DD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1.2pt;height:847.55pt;z-index:-251658752;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6B5"/>
    <w:multiLevelType w:val="hybridMultilevel"/>
    <w:tmpl w:val="5B72A8BE"/>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6A7491"/>
    <w:multiLevelType w:val="hybridMultilevel"/>
    <w:tmpl w:val="5192E366"/>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65C8F"/>
    <w:multiLevelType w:val="hybridMultilevel"/>
    <w:tmpl w:val="3E56E014"/>
    <w:lvl w:ilvl="0" w:tplc="240A0001">
      <w:start w:val="1"/>
      <w:numFmt w:val="bullet"/>
      <w:lvlText w:val=""/>
      <w:lvlJc w:val="left"/>
      <w:pPr>
        <w:ind w:left="720" w:hanging="360"/>
      </w:pPr>
      <w:rPr>
        <w:rFonts w:ascii="Symbol" w:hAnsi="Symbol" w:hint="default"/>
      </w:rPr>
    </w:lvl>
    <w:lvl w:ilvl="1" w:tplc="E3B67020">
      <w:numFmt w:val="bullet"/>
      <w:lvlText w:val="•"/>
      <w:lvlJc w:val="left"/>
      <w:pPr>
        <w:ind w:left="1440" w:hanging="360"/>
      </w:pPr>
      <w:rPr>
        <w:rFonts w:ascii="Lexend Light" w:eastAsia="Lexend Light" w:hAnsi="Lexend Light" w:cs="Lexend Light"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53642B"/>
    <w:multiLevelType w:val="hybridMultilevel"/>
    <w:tmpl w:val="15C0AB06"/>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1E7FD7"/>
    <w:multiLevelType w:val="hybridMultilevel"/>
    <w:tmpl w:val="4B403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C068E6"/>
    <w:multiLevelType w:val="hybridMultilevel"/>
    <w:tmpl w:val="5B1EFA18"/>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46F5FA6"/>
    <w:multiLevelType w:val="hybridMultilevel"/>
    <w:tmpl w:val="4C3AA8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4625E26"/>
    <w:multiLevelType w:val="hybridMultilevel"/>
    <w:tmpl w:val="85B88DF4"/>
    <w:lvl w:ilvl="0" w:tplc="D58E539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EFB70C2"/>
    <w:multiLevelType w:val="hybridMultilevel"/>
    <w:tmpl w:val="FF202B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1785B54"/>
    <w:multiLevelType w:val="hybridMultilevel"/>
    <w:tmpl w:val="CF941634"/>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B81B4E"/>
    <w:multiLevelType w:val="hybridMultilevel"/>
    <w:tmpl w:val="514C4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87425885">
    <w:abstractNumId w:val="2"/>
  </w:num>
  <w:num w:numId="2" w16cid:durableId="1987977837">
    <w:abstractNumId w:val="8"/>
  </w:num>
  <w:num w:numId="3" w16cid:durableId="15422749">
    <w:abstractNumId w:val="10"/>
  </w:num>
  <w:num w:numId="4" w16cid:durableId="1831676659">
    <w:abstractNumId w:val="6"/>
  </w:num>
  <w:num w:numId="5" w16cid:durableId="1094009956">
    <w:abstractNumId w:val="7"/>
  </w:num>
  <w:num w:numId="6" w16cid:durableId="673188088">
    <w:abstractNumId w:val="4"/>
  </w:num>
  <w:num w:numId="7" w16cid:durableId="706221031">
    <w:abstractNumId w:val="5"/>
  </w:num>
  <w:num w:numId="8" w16cid:durableId="298609807">
    <w:abstractNumId w:val="0"/>
  </w:num>
  <w:num w:numId="9" w16cid:durableId="1529760004">
    <w:abstractNumId w:val="9"/>
  </w:num>
  <w:num w:numId="10" w16cid:durableId="287669180">
    <w:abstractNumId w:val="3"/>
  </w:num>
  <w:num w:numId="11" w16cid:durableId="2088724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13F"/>
    <w:rsid w:val="00012701"/>
    <w:rsid w:val="0005264B"/>
    <w:rsid w:val="00056C49"/>
    <w:rsid w:val="000B13DB"/>
    <w:rsid w:val="00105DD1"/>
    <w:rsid w:val="00174B5A"/>
    <w:rsid w:val="001F57B6"/>
    <w:rsid w:val="00231F49"/>
    <w:rsid w:val="002729AE"/>
    <w:rsid w:val="00282A75"/>
    <w:rsid w:val="00287988"/>
    <w:rsid w:val="00290AC0"/>
    <w:rsid w:val="00317CA2"/>
    <w:rsid w:val="00393EB1"/>
    <w:rsid w:val="003C0EB9"/>
    <w:rsid w:val="00463238"/>
    <w:rsid w:val="00477DD8"/>
    <w:rsid w:val="005B1868"/>
    <w:rsid w:val="005F0EEE"/>
    <w:rsid w:val="006B0BA1"/>
    <w:rsid w:val="006C7255"/>
    <w:rsid w:val="006D4EBD"/>
    <w:rsid w:val="00755644"/>
    <w:rsid w:val="007D1D34"/>
    <w:rsid w:val="007E1E1C"/>
    <w:rsid w:val="00880154"/>
    <w:rsid w:val="008A124C"/>
    <w:rsid w:val="008D64B1"/>
    <w:rsid w:val="00902600"/>
    <w:rsid w:val="00906F68"/>
    <w:rsid w:val="009124A7"/>
    <w:rsid w:val="00A77380"/>
    <w:rsid w:val="00AC5247"/>
    <w:rsid w:val="00B93AAC"/>
    <w:rsid w:val="00C36704"/>
    <w:rsid w:val="00CE254C"/>
    <w:rsid w:val="00D12632"/>
    <w:rsid w:val="00D214A4"/>
    <w:rsid w:val="00DA5BAA"/>
    <w:rsid w:val="00DF513F"/>
    <w:rsid w:val="00F51E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33E43"/>
  <w15:docId w15:val="{89CD542C-EFDC-451C-BF68-EA50D9AD4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Pr>
    <w:tblStylePr w:type="firstRow">
      <w:rPr>
        <w:b w:val="0"/>
        <w:bCs w:val="0"/>
        <w:i w:val="0"/>
        <w:iCs w:val="0"/>
      </w:rPr>
    </w:tblStylePr>
    <w:tblStylePr w:type="lastRow">
      <w:rPr>
        <w:b w:val="0"/>
        <w:bCs w:val="0"/>
        <w:i w:val="0"/>
        <w:iCs w:val="0"/>
      </w:rPr>
    </w:tblStylePr>
    <w:tblStylePr w:type="firstCol">
      <w:rPr>
        <w:b w:val="0"/>
        <w:bCs w:val="0"/>
        <w:i w:val="0"/>
        <w:iCs w:val="0"/>
      </w:rPr>
    </w:tblStylePr>
    <w:tblStylePr w:type="lastCol">
      <w:rPr>
        <w:b w:val="0"/>
        <w:bCs w:val="0"/>
        <w:i w:val="0"/>
        <w:iCs w:val="0"/>
      </w:rPr>
    </w:tblStylePr>
    <w:tblStylePr w:type="band1Vert">
      <w:rPr>
        <w:b w:val="0"/>
        <w:bCs w:val="0"/>
        <w:i w:val="0"/>
        <w:iCs w:val="0"/>
      </w:rPr>
    </w:tblStylePr>
    <w:tblStylePr w:type="band2Vert">
      <w:rPr>
        <w:b w:val="0"/>
        <w:bCs w:val="0"/>
        <w:i w:val="0"/>
        <w:iCs w:val="0"/>
      </w:rPr>
    </w:tblStylePr>
    <w:tblStylePr w:type="band1Horz">
      <w:rPr>
        <w:b w:val="0"/>
        <w:bCs w:val="0"/>
        <w:i w:val="0"/>
        <w:iCs w:val="0"/>
      </w:r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paragraph" w:styleId="Prrafodelista">
    <w:name w:val="List Paragraph"/>
    <w:basedOn w:val="Normal"/>
    <w:uiPriority w:val="34"/>
    <w:qFormat/>
    <w:rsid w:val="00906F68"/>
    <w:pPr>
      <w:ind w:left="720"/>
      <w:contextualSpacing/>
    </w:pPr>
  </w:style>
  <w:style w:type="paragraph" w:styleId="NormalWeb">
    <w:name w:val="Normal (Web)"/>
    <w:basedOn w:val="Normal"/>
    <w:uiPriority w:val="99"/>
    <w:semiHidden/>
    <w:unhideWhenUsed/>
    <w:rsid w:val="00C3670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C6032-EA43-4A38-ADDC-599854AD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1</Pages>
  <Words>2597</Words>
  <Characters>14286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Rojas D</dc:creator>
  <cp:lastModifiedBy>Ingrid Dalila Marino Morales</cp:lastModifiedBy>
  <cp:revision>9</cp:revision>
  <dcterms:created xsi:type="dcterms:W3CDTF">2026-01-21T20:09:00Z</dcterms:created>
  <dcterms:modified xsi:type="dcterms:W3CDTF">2026-01-27T15:37:00Z</dcterms:modified>
</cp:coreProperties>
</file>