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DDB84" w14:textId="77777777" w:rsidR="004A4D5B" w:rsidRDefault="00000000">
      <w:pPr>
        <w:rPr>
          <w:rFonts w:ascii="Oswald Medium" w:eastAsia="Oswald Medium" w:hAnsi="Oswald Medium" w:cs="Oswald Medium"/>
          <w:color w:val="674EA7"/>
          <w:sz w:val="40"/>
          <w:szCs w:val="40"/>
        </w:rPr>
      </w:pPr>
      <w:r>
        <w:rPr>
          <w:rFonts w:ascii="Oswald Medium" w:eastAsia="Oswald Medium" w:hAnsi="Oswald Medium" w:cs="Oswald Medium"/>
          <w:noProof/>
          <w:color w:val="674EA7"/>
          <w:sz w:val="40"/>
          <w:szCs w:val="40"/>
        </w:rPr>
        <w:drawing>
          <wp:anchor distT="0" distB="114300" distL="114300" distR="114300" simplePos="0" relativeHeight="251658240" behindDoc="1" locked="0" layoutInCell="1" hidden="0" allowOverlap="1" wp14:anchorId="432DDBE4" wp14:editId="432DDBE5">
            <wp:simplePos x="0" y="0"/>
            <wp:positionH relativeFrom="page">
              <wp:posOffset>0</wp:posOffset>
            </wp:positionH>
            <wp:positionV relativeFrom="page">
              <wp:posOffset>0</wp:posOffset>
            </wp:positionV>
            <wp:extent cx="7560000" cy="10735200"/>
            <wp:effectExtent l="0" t="0" r="0" b="0"/>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7560000" cy="10735200"/>
                    </a:xfrm>
                    <a:prstGeom prst="rect">
                      <a:avLst/>
                    </a:prstGeom>
                    <a:ln/>
                  </pic:spPr>
                </pic:pic>
              </a:graphicData>
            </a:graphic>
          </wp:anchor>
        </w:drawing>
      </w:r>
    </w:p>
    <w:p w14:paraId="432DDB85" w14:textId="77777777" w:rsidR="004A4D5B" w:rsidRDefault="004A4D5B">
      <w:pPr>
        <w:rPr>
          <w:rFonts w:ascii="Oswald Medium" w:eastAsia="Oswald Medium" w:hAnsi="Oswald Medium" w:cs="Oswald Medium"/>
          <w:color w:val="674EA7"/>
          <w:sz w:val="40"/>
          <w:szCs w:val="40"/>
        </w:rPr>
      </w:pPr>
    </w:p>
    <w:p w14:paraId="432DDB86" w14:textId="77777777" w:rsidR="004A4D5B" w:rsidRDefault="004A4D5B">
      <w:pPr>
        <w:rPr>
          <w:rFonts w:ascii="Oswald Medium" w:eastAsia="Oswald Medium" w:hAnsi="Oswald Medium" w:cs="Oswald Medium"/>
          <w:color w:val="674EA7"/>
          <w:sz w:val="40"/>
          <w:szCs w:val="40"/>
        </w:rPr>
      </w:pPr>
    </w:p>
    <w:p w14:paraId="432DDB87" w14:textId="77777777" w:rsidR="004A4D5B" w:rsidRDefault="004A4D5B">
      <w:pPr>
        <w:rPr>
          <w:rFonts w:ascii="Oswald Medium" w:eastAsia="Oswald Medium" w:hAnsi="Oswald Medium" w:cs="Oswald Medium"/>
          <w:color w:val="674EA7"/>
          <w:sz w:val="40"/>
          <w:szCs w:val="40"/>
        </w:rPr>
      </w:pPr>
    </w:p>
    <w:p w14:paraId="432DDB88" w14:textId="77777777" w:rsidR="004A4D5B" w:rsidRDefault="004A4D5B">
      <w:pPr>
        <w:rPr>
          <w:rFonts w:ascii="Oswald Medium" w:eastAsia="Oswald Medium" w:hAnsi="Oswald Medium" w:cs="Oswald Medium"/>
          <w:color w:val="674EA7"/>
          <w:sz w:val="40"/>
          <w:szCs w:val="40"/>
        </w:rPr>
      </w:pPr>
    </w:p>
    <w:tbl>
      <w:tblPr>
        <w:tblStyle w:val="a"/>
        <w:tblpPr w:leftFromText="180" w:rightFromText="180" w:topFromText="180" w:bottomFromText="180" w:vertAnchor="text" w:tblpX="1079"/>
        <w:tblW w:w="7485" w:type="dxa"/>
        <w:tblInd w:w="0" w:type="dxa"/>
        <w:tblLayout w:type="fixed"/>
        <w:tblLook w:val="0600" w:firstRow="0" w:lastRow="0" w:firstColumn="0" w:lastColumn="0" w:noHBand="1" w:noVBand="1"/>
      </w:tblPr>
      <w:tblGrid>
        <w:gridCol w:w="7485"/>
      </w:tblGrid>
      <w:tr w:rsidR="004A4D5B" w14:paraId="432DDB8B" w14:textId="77777777">
        <w:tc>
          <w:tcPr>
            <w:tcW w:w="7485" w:type="dxa"/>
          </w:tcPr>
          <w:p w14:paraId="01E86B03" w14:textId="77777777" w:rsidR="004A4D5B" w:rsidRDefault="00D56CB0">
            <w:pPr>
              <w:spacing w:line="240" w:lineRule="auto"/>
              <w:jc w:val="center"/>
              <w:rPr>
                <w:rFonts w:ascii="Oswald" w:eastAsia="Oswald" w:hAnsi="Oswald" w:cs="Oswald"/>
                <w:b/>
                <w:bCs/>
                <w:color w:val="FFFFFF"/>
                <w:sz w:val="100"/>
                <w:szCs w:val="100"/>
              </w:rPr>
            </w:pPr>
            <w:r>
              <w:rPr>
                <w:rFonts w:ascii="Oswald" w:eastAsia="Oswald" w:hAnsi="Oswald" w:cs="Oswald"/>
                <w:b/>
                <w:bCs/>
                <w:color w:val="FFFFFF"/>
                <w:sz w:val="100"/>
                <w:szCs w:val="100"/>
              </w:rPr>
              <w:t xml:space="preserve">Plan de Austeridad del Gasto Público </w:t>
            </w:r>
          </w:p>
          <w:p w14:paraId="432DDB8A" w14:textId="166B4EED" w:rsidR="00D56CB0" w:rsidRDefault="00D56CB0">
            <w:pPr>
              <w:spacing w:line="240" w:lineRule="auto"/>
              <w:jc w:val="center"/>
              <w:rPr>
                <w:rFonts w:ascii="Oswald" w:eastAsia="Oswald" w:hAnsi="Oswald" w:cs="Oswald"/>
                <w:b/>
                <w:bCs/>
                <w:color w:val="FFFFFF"/>
                <w:sz w:val="100"/>
                <w:szCs w:val="100"/>
              </w:rPr>
            </w:pPr>
            <w:r>
              <w:rPr>
                <w:rFonts w:ascii="Oswald" w:eastAsia="Oswald" w:hAnsi="Oswald" w:cs="Oswald"/>
                <w:b/>
                <w:bCs/>
                <w:color w:val="FFFFFF"/>
                <w:sz w:val="100"/>
                <w:szCs w:val="100"/>
              </w:rPr>
              <w:t>2025-2027</w:t>
            </w:r>
          </w:p>
        </w:tc>
      </w:tr>
    </w:tbl>
    <w:p w14:paraId="432DDB8C" w14:textId="77777777" w:rsidR="004A4D5B" w:rsidRDefault="004A4D5B">
      <w:pPr>
        <w:rPr>
          <w:rFonts w:ascii="Oswald Medium" w:eastAsia="Oswald Medium" w:hAnsi="Oswald Medium" w:cs="Oswald Medium"/>
          <w:color w:val="674EA7"/>
          <w:sz w:val="40"/>
          <w:szCs w:val="40"/>
        </w:rPr>
      </w:pPr>
    </w:p>
    <w:p w14:paraId="432DDB8D" w14:textId="77777777" w:rsidR="004A4D5B" w:rsidRDefault="004A4D5B">
      <w:pPr>
        <w:rPr>
          <w:rFonts w:ascii="Oswald Medium" w:eastAsia="Oswald Medium" w:hAnsi="Oswald Medium" w:cs="Oswald Medium"/>
          <w:color w:val="674EA7"/>
          <w:sz w:val="40"/>
          <w:szCs w:val="40"/>
        </w:rPr>
      </w:pPr>
    </w:p>
    <w:p w14:paraId="432DDB8E" w14:textId="77777777" w:rsidR="004A4D5B" w:rsidRDefault="004A4D5B">
      <w:pPr>
        <w:rPr>
          <w:rFonts w:ascii="Oswald Medium" w:eastAsia="Oswald Medium" w:hAnsi="Oswald Medium" w:cs="Oswald Medium"/>
          <w:color w:val="674EA7"/>
          <w:sz w:val="40"/>
          <w:szCs w:val="40"/>
        </w:rPr>
      </w:pPr>
    </w:p>
    <w:p w14:paraId="432DDB8F" w14:textId="77777777" w:rsidR="004A4D5B" w:rsidRDefault="004A4D5B">
      <w:pPr>
        <w:rPr>
          <w:rFonts w:ascii="Oswald Medium" w:eastAsia="Oswald Medium" w:hAnsi="Oswald Medium" w:cs="Oswald Medium"/>
          <w:color w:val="674EA7"/>
          <w:sz w:val="40"/>
          <w:szCs w:val="40"/>
        </w:rPr>
      </w:pPr>
    </w:p>
    <w:p w14:paraId="432DDB90" w14:textId="77777777" w:rsidR="004A4D5B" w:rsidRDefault="004A4D5B">
      <w:pPr>
        <w:rPr>
          <w:rFonts w:ascii="Oswald Medium" w:eastAsia="Oswald Medium" w:hAnsi="Oswald Medium" w:cs="Oswald Medium"/>
          <w:color w:val="674EA7"/>
          <w:sz w:val="40"/>
          <w:szCs w:val="40"/>
        </w:rPr>
      </w:pPr>
    </w:p>
    <w:p w14:paraId="432DDB91" w14:textId="77777777" w:rsidR="004A4D5B" w:rsidRDefault="004A4D5B">
      <w:pPr>
        <w:rPr>
          <w:rFonts w:ascii="Oswald Medium" w:eastAsia="Oswald Medium" w:hAnsi="Oswald Medium" w:cs="Oswald Medium"/>
          <w:color w:val="674EA7"/>
          <w:sz w:val="40"/>
          <w:szCs w:val="40"/>
        </w:rPr>
      </w:pPr>
    </w:p>
    <w:p w14:paraId="432DDB92" w14:textId="77777777" w:rsidR="004A4D5B" w:rsidRDefault="004A4D5B">
      <w:pPr>
        <w:rPr>
          <w:rFonts w:ascii="Oswald Medium" w:eastAsia="Oswald Medium" w:hAnsi="Oswald Medium" w:cs="Oswald Medium"/>
          <w:color w:val="674EA7"/>
          <w:sz w:val="40"/>
          <w:szCs w:val="40"/>
        </w:rPr>
      </w:pPr>
    </w:p>
    <w:p w14:paraId="432DDB93" w14:textId="77777777" w:rsidR="004A4D5B" w:rsidRDefault="004A4D5B">
      <w:pPr>
        <w:rPr>
          <w:rFonts w:ascii="Oswald Medium" w:eastAsia="Oswald Medium" w:hAnsi="Oswald Medium" w:cs="Oswald Medium"/>
          <w:color w:val="674EA7"/>
          <w:sz w:val="40"/>
          <w:szCs w:val="40"/>
        </w:rPr>
      </w:pPr>
    </w:p>
    <w:p w14:paraId="432DDB94" w14:textId="77777777" w:rsidR="004A4D5B" w:rsidRDefault="004A4D5B">
      <w:pPr>
        <w:rPr>
          <w:rFonts w:ascii="Oswald Medium" w:eastAsia="Oswald Medium" w:hAnsi="Oswald Medium" w:cs="Oswald Medium"/>
          <w:color w:val="674EA7"/>
          <w:sz w:val="40"/>
          <w:szCs w:val="40"/>
        </w:rPr>
      </w:pPr>
    </w:p>
    <w:p w14:paraId="432DDB95" w14:textId="77777777" w:rsidR="004A4D5B" w:rsidRDefault="004A4D5B">
      <w:pPr>
        <w:rPr>
          <w:rFonts w:ascii="Oswald Medium" w:eastAsia="Oswald Medium" w:hAnsi="Oswald Medium" w:cs="Oswald Medium"/>
          <w:color w:val="674EA7"/>
          <w:sz w:val="40"/>
          <w:szCs w:val="40"/>
        </w:rPr>
      </w:pPr>
    </w:p>
    <w:p w14:paraId="432DDB96" w14:textId="77777777" w:rsidR="004A4D5B" w:rsidRDefault="004A4D5B">
      <w:pPr>
        <w:rPr>
          <w:rFonts w:ascii="Oswald Medium" w:eastAsia="Oswald Medium" w:hAnsi="Oswald Medium" w:cs="Oswald Medium"/>
          <w:color w:val="674EA7"/>
          <w:sz w:val="40"/>
          <w:szCs w:val="40"/>
        </w:rPr>
      </w:pPr>
    </w:p>
    <w:p w14:paraId="432DDB97" w14:textId="77777777" w:rsidR="004A4D5B" w:rsidRDefault="004A4D5B">
      <w:pPr>
        <w:rPr>
          <w:rFonts w:ascii="Oswald Medium" w:eastAsia="Oswald Medium" w:hAnsi="Oswald Medium" w:cs="Oswald Medium"/>
          <w:color w:val="674EA7"/>
          <w:sz w:val="40"/>
          <w:szCs w:val="40"/>
        </w:rPr>
      </w:pPr>
    </w:p>
    <w:p w14:paraId="432DDB98" w14:textId="77777777" w:rsidR="004A4D5B" w:rsidRDefault="004A4D5B">
      <w:pPr>
        <w:rPr>
          <w:rFonts w:ascii="Oswald Medium" w:eastAsia="Oswald Medium" w:hAnsi="Oswald Medium" w:cs="Oswald Medium"/>
          <w:color w:val="674EA7"/>
          <w:sz w:val="40"/>
          <w:szCs w:val="40"/>
        </w:rPr>
      </w:pPr>
    </w:p>
    <w:p w14:paraId="432DDB99" w14:textId="77777777" w:rsidR="004A4D5B" w:rsidRDefault="004A4D5B">
      <w:pPr>
        <w:rPr>
          <w:rFonts w:ascii="Oswald Medium" w:eastAsia="Oswald Medium" w:hAnsi="Oswald Medium" w:cs="Oswald Medium"/>
          <w:color w:val="674EA7"/>
          <w:sz w:val="40"/>
          <w:szCs w:val="40"/>
        </w:rPr>
      </w:pPr>
    </w:p>
    <w:p w14:paraId="2C4E3581" w14:textId="77777777" w:rsidR="001A5F30" w:rsidRPr="001A5F30" w:rsidRDefault="001A5F30" w:rsidP="001A5F30">
      <w:pPr>
        <w:rPr>
          <w:rFonts w:ascii="Oswald Medium" w:eastAsia="Oswald Medium" w:hAnsi="Oswald Medium" w:cs="Oswald Medium"/>
          <w:color w:val="674EA7"/>
          <w:sz w:val="40"/>
          <w:szCs w:val="40"/>
        </w:rPr>
      </w:pPr>
      <w:r w:rsidRPr="001A5F30">
        <w:rPr>
          <w:rFonts w:ascii="Oswald Medium" w:eastAsia="Oswald Medium" w:hAnsi="Oswald Medium" w:cs="Oswald Medium"/>
          <w:color w:val="674EA7"/>
          <w:sz w:val="40"/>
          <w:szCs w:val="40"/>
        </w:rPr>
        <w:lastRenderedPageBreak/>
        <w:t>Introducción</w:t>
      </w:r>
    </w:p>
    <w:p w14:paraId="4F6760B7" w14:textId="77777777" w:rsidR="001A5F30" w:rsidRPr="001A5F30" w:rsidRDefault="001A5F30" w:rsidP="001A5F30">
      <w:pPr>
        <w:autoSpaceDE w:val="0"/>
        <w:autoSpaceDN w:val="0"/>
        <w:adjustRightInd w:val="0"/>
        <w:spacing w:line="240" w:lineRule="auto"/>
        <w:jc w:val="both"/>
        <w:rPr>
          <w:rFonts w:ascii="Arial Narrow" w:eastAsia="Calibri" w:hAnsi="Arial Narrow" w:cs="DejaVuSans-Bold"/>
          <w:b/>
          <w:bCs/>
          <w:lang w:val="es-CO"/>
        </w:rPr>
      </w:pPr>
    </w:p>
    <w:p w14:paraId="4BF637ED"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El plan de austeridad tiene como fin la implementación de medidas tendientes a racionalizar el gasto, a través de acciones y controles para incentivar una cultura de ahorro en la entidad.</w:t>
      </w:r>
    </w:p>
    <w:p w14:paraId="3FCC6B12"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20346191"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Atendiendo lo normado en el Decreto Distrital 062 de 2024 – Artículo 24 -. Indicador de austeridad, circular externa </w:t>
      </w:r>
      <w:proofErr w:type="spellStart"/>
      <w:r w:rsidRPr="001A5F30">
        <w:rPr>
          <w:rFonts w:ascii="Lexend Light" w:eastAsia="Lexend Light" w:hAnsi="Lexend Light" w:cs="Lexend Light"/>
          <w:sz w:val="20"/>
          <w:szCs w:val="20"/>
        </w:rPr>
        <w:t>N°</w:t>
      </w:r>
      <w:proofErr w:type="spellEnd"/>
      <w:r w:rsidRPr="001A5F30">
        <w:rPr>
          <w:rFonts w:ascii="Lexend Light" w:eastAsia="Lexend Light" w:hAnsi="Lexend Light" w:cs="Lexend Light"/>
          <w:sz w:val="20"/>
          <w:szCs w:val="20"/>
        </w:rPr>
        <w:t xml:space="preserve"> SDH – 000002 del 10 de enero de 2025, para la vigencia 2025 se seleccionará como gastos elegibles los relacionados a los Artículos. 015. Telefonía, y Artículo 20. Cajas menores; se realizó esta elección teniendo en cuenta que la entidad busca generar estrategias de optimización y racionalización de los recursos asignados para su funcionamiento.</w:t>
      </w:r>
    </w:p>
    <w:p w14:paraId="148FAADB"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669A495B"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A su vez este plan cuenta con acciones complementarias también encaminadas a velar por el uso racional de los recursos públicos asignados a la entidad, a través de la aplicación de controles y del cumplimiento de la normatividad vigente en la materia.</w:t>
      </w:r>
    </w:p>
    <w:p w14:paraId="47FD11EF"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52A5CA8D" w14:textId="37A8244F" w:rsidR="001A5F30" w:rsidRPr="001A5F30" w:rsidRDefault="001A5F30" w:rsidP="001A5F30">
      <w:pPr>
        <w:rPr>
          <w:rFonts w:ascii="Oswald Medium" w:eastAsia="Oswald Medium" w:hAnsi="Oswald Medium" w:cs="Oswald Medium"/>
          <w:color w:val="674EA7"/>
          <w:sz w:val="40"/>
          <w:szCs w:val="40"/>
        </w:rPr>
      </w:pPr>
      <w:r w:rsidRPr="001A5F30">
        <w:rPr>
          <w:rFonts w:ascii="Oswald Medium" w:eastAsia="Oswald Medium" w:hAnsi="Oswald Medium" w:cs="Oswald Medium"/>
          <w:color w:val="674EA7"/>
          <w:sz w:val="40"/>
          <w:szCs w:val="40"/>
        </w:rPr>
        <w:t>Alcance</w:t>
      </w:r>
    </w:p>
    <w:p w14:paraId="3D585D10"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01F7007D"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El Plan de Austeridad de la Fundación Gilberto Álzate Avendaño debe ser cumplido por todos los funcionarios de la entidad y controlado por:</w:t>
      </w:r>
    </w:p>
    <w:p w14:paraId="7BDA6E6F"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05CB8CEB" w14:textId="77777777" w:rsidR="001A5F30" w:rsidRPr="001A5F30" w:rsidRDefault="001A5F30" w:rsidP="001A5F30">
      <w:pPr>
        <w:numPr>
          <w:ilvl w:val="0"/>
          <w:numId w:val="4"/>
        </w:numPr>
        <w:autoSpaceDE w:val="0"/>
        <w:autoSpaceDN w:val="0"/>
        <w:adjustRightInd w:val="0"/>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Temas de telefonía celular: por los funcionarios responsables de manejo de servicios públicos a cargo de la subdirección corporativa.</w:t>
      </w:r>
    </w:p>
    <w:p w14:paraId="6CE9CFD6" w14:textId="77777777" w:rsidR="001A5F30" w:rsidRPr="001A5F30" w:rsidRDefault="001A5F30" w:rsidP="001A5F30">
      <w:pPr>
        <w:numPr>
          <w:ilvl w:val="0"/>
          <w:numId w:val="4"/>
        </w:numPr>
        <w:autoSpaceDE w:val="0"/>
        <w:autoSpaceDN w:val="0"/>
        <w:adjustRightInd w:val="0"/>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Temas de caja menor:  los responsables del manejo de la caja menor en el desarrollo de sus funciones y estará en cabeza del proceso de gestión financiera de la Entidad.</w:t>
      </w:r>
    </w:p>
    <w:p w14:paraId="60D734FC"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3B188548"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36BDFDEA" w14:textId="77777777" w:rsidR="001A5F30" w:rsidRPr="001A5F30" w:rsidRDefault="001A5F30" w:rsidP="001A5F30">
      <w:pPr>
        <w:rPr>
          <w:rFonts w:ascii="Oswald Medium" w:eastAsia="Oswald Medium" w:hAnsi="Oswald Medium" w:cs="Oswald Medium"/>
          <w:color w:val="674EA7"/>
          <w:sz w:val="40"/>
          <w:szCs w:val="40"/>
        </w:rPr>
      </w:pPr>
      <w:r w:rsidRPr="001A5F30">
        <w:rPr>
          <w:rFonts w:ascii="Oswald Medium" w:eastAsia="Oswald Medium" w:hAnsi="Oswald Medium" w:cs="Oswald Medium"/>
          <w:color w:val="674EA7"/>
          <w:sz w:val="40"/>
          <w:szCs w:val="40"/>
        </w:rPr>
        <w:t>Objetivo plan de austeridad de gasto público</w:t>
      </w:r>
    </w:p>
    <w:p w14:paraId="31C2BCEC" w14:textId="77777777" w:rsidR="001A5F30" w:rsidRPr="001A5F30" w:rsidRDefault="001A5F30" w:rsidP="001A5F30">
      <w:pPr>
        <w:pBdr>
          <w:top w:val="nil"/>
          <w:left w:val="nil"/>
          <w:bottom w:val="nil"/>
          <w:right w:val="nil"/>
          <w:between w:val="nil"/>
        </w:pBdr>
        <w:spacing w:line="240" w:lineRule="auto"/>
        <w:jc w:val="both"/>
        <w:rPr>
          <w:rFonts w:ascii="Lexend Light" w:eastAsia="Lexend Light" w:hAnsi="Lexend Light" w:cs="Lexend Light"/>
          <w:sz w:val="20"/>
          <w:szCs w:val="20"/>
        </w:rPr>
      </w:pPr>
    </w:p>
    <w:p w14:paraId="16D66515" w14:textId="77777777" w:rsidR="001A5F30" w:rsidRPr="001A5F30" w:rsidRDefault="001A5F30" w:rsidP="001A5F30">
      <w:pPr>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Generar acciones al fortalecimiento del uso racional de los recursos públicos asignados a la entidad, a través de acciones eficientes de austeridad en el gasto público.</w:t>
      </w:r>
    </w:p>
    <w:p w14:paraId="39F084B6" w14:textId="77777777" w:rsidR="001A5F30" w:rsidRPr="001A5F30" w:rsidRDefault="001A5F30" w:rsidP="001A5F30">
      <w:pPr>
        <w:spacing w:line="240" w:lineRule="auto"/>
        <w:jc w:val="both"/>
        <w:rPr>
          <w:rFonts w:ascii="Lexend Light" w:eastAsia="Lexend Light" w:hAnsi="Lexend Light" w:cs="Lexend Light"/>
          <w:sz w:val="20"/>
          <w:szCs w:val="20"/>
        </w:rPr>
      </w:pPr>
    </w:p>
    <w:p w14:paraId="5B2008CA" w14:textId="24721304" w:rsidR="001A5F30" w:rsidRPr="001A5F30" w:rsidRDefault="00A00B05" w:rsidP="00A00B05">
      <w:pPr>
        <w:pStyle w:val="Ttulo2"/>
      </w:pPr>
      <w:r w:rsidRPr="001A5F30">
        <w:t>OBJETIVOS ESPECÍFICOS</w:t>
      </w:r>
    </w:p>
    <w:p w14:paraId="76FE22F1" w14:textId="77777777" w:rsidR="001A5F30" w:rsidRPr="001A5F30" w:rsidRDefault="001A5F30" w:rsidP="001A5F30">
      <w:pPr>
        <w:spacing w:line="240" w:lineRule="auto"/>
        <w:jc w:val="both"/>
        <w:rPr>
          <w:rFonts w:ascii="Lexend Light" w:eastAsia="Lexend Light" w:hAnsi="Lexend Light" w:cs="Lexend Light"/>
          <w:sz w:val="20"/>
          <w:szCs w:val="20"/>
        </w:rPr>
      </w:pPr>
    </w:p>
    <w:p w14:paraId="0E8F7788" w14:textId="77777777" w:rsidR="001A5F30" w:rsidRPr="001A5F30" w:rsidRDefault="001A5F30" w:rsidP="001A5F30">
      <w:pPr>
        <w:numPr>
          <w:ilvl w:val="0"/>
          <w:numId w:val="2"/>
        </w:numPr>
        <w:spacing w:after="160"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Disminuir los gastos de funcionamiento relacionados con los rubros de telefonía y caja menor.</w:t>
      </w:r>
    </w:p>
    <w:p w14:paraId="30E9592D" w14:textId="77777777" w:rsidR="001A5F30" w:rsidRPr="001A5F30" w:rsidRDefault="001A5F30" w:rsidP="001A5F30">
      <w:pPr>
        <w:numPr>
          <w:ilvl w:val="0"/>
          <w:numId w:val="2"/>
        </w:numPr>
        <w:spacing w:after="160"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Definir indicadores de austeridad y cumplimiento en concordancia con las metas establecidas en el plan de acción del presente documento.</w:t>
      </w:r>
    </w:p>
    <w:p w14:paraId="030ED2BE" w14:textId="77777777" w:rsidR="001A5F30" w:rsidRPr="001A5F30" w:rsidRDefault="001A5F30" w:rsidP="001A5F30">
      <w:pPr>
        <w:numPr>
          <w:ilvl w:val="0"/>
          <w:numId w:val="2"/>
        </w:numPr>
        <w:spacing w:after="160"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Establecer dentro de la entidad funciones y responsabilidades para la consolidación, análisis y presentación de balances relacionados con la implementación de medidas de austeridad contenidas en el presente plan.</w:t>
      </w:r>
    </w:p>
    <w:p w14:paraId="6AB769C2" w14:textId="77777777" w:rsidR="001A5F30" w:rsidRPr="001A5F30" w:rsidRDefault="001A5F30" w:rsidP="001A5F30">
      <w:pPr>
        <w:spacing w:line="240" w:lineRule="auto"/>
        <w:jc w:val="both"/>
        <w:rPr>
          <w:rFonts w:ascii="Lexend Light" w:eastAsia="Lexend Light" w:hAnsi="Lexend Light" w:cs="Lexend Light"/>
          <w:sz w:val="20"/>
          <w:szCs w:val="20"/>
        </w:rPr>
      </w:pPr>
    </w:p>
    <w:p w14:paraId="1961342A" w14:textId="77777777" w:rsidR="001A5F30" w:rsidRPr="001A5F30" w:rsidRDefault="001A5F30" w:rsidP="001A5F30">
      <w:pPr>
        <w:spacing w:line="240" w:lineRule="auto"/>
        <w:jc w:val="both"/>
        <w:rPr>
          <w:rFonts w:ascii="Lexend Light" w:eastAsia="Lexend Light" w:hAnsi="Lexend Light" w:cs="Lexend Light"/>
          <w:sz w:val="20"/>
          <w:szCs w:val="20"/>
        </w:rPr>
      </w:pPr>
    </w:p>
    <w:p w14:paraId="411ADCF7" w14:textId="77777777" w:rsidR="001A5F30" w:rsidRPr="001A5F30" w:rsidRDefault="001A5F30" w:rsidP="00856038">
      <w:pPr>
        <w:pStyle w:val="Ttulo2"/>
      </w:pPr>
      <w:r w:rsidRPr="001A5F30">
        <w:lastRenderedPageBreak/>
        <w:t>DESCRIPCIÓN DE LAS ACTIVIDADES REALIZADAS</w:t>
      </w:r>
    </w:p>
    <w:p w14:paraId="3E9BC1ED" w14:textId="77777777" w:rsidR="001A5F30" w:rsidRPr="001A5F30" w:rsidRDefault="001A5F30" w:rsidP="001A5F30">
      <w:pPr>
        <w:spacing w:line="240" w:lineRule="auto"/>
        <w:jc w:val="both"/>
        <w:rPr>
          <w:rFonts w:ascii="Lexend Light" w:eastAsia="Lexend Light" w:hAnsi="Lexend Light" w:cs="Lexend Light"/>
          <w:sz w:val="20"/>
          <w:szCs w:val="20"/>
        </w:rPr>
      </w:pPr>
    </w:p>
    <w:p w14:paraId="786B84E6" w14:textId="6AF6425B" w:rsidR="001A5F30" w:rsidRPr="001A5F30" w:rsidRDefault="00A00B05" w:rsidP="00856038">
      <w:pPr>
        <w:pStyle w:val="Ttulo3"/>
        <w:rPr>
          <w:sz w:val="32"/>
          <w:szCs w:val="32"/>
        </w:rPr>
      </w:pPr>
      <w:r w:rsidRPr="001A5F30">
        <w:t>GASTOS ELEGIBLES</w:t>
      </w:r>
    </w:p>
    <w:p w14:paraId="4FD669A9" w14:textId="77777777" w:rsidR="001A5F30" w:rsidRPr="001A5F30" w:rsidRDefault="001A5F30" w:rsidP="001A5F30">
      <w:pPr>
        <w:spacing w:line="240" w:lineRule="auto"/>
        <w:jc w:val="both"/>
        <w:rPr>
          <w:rFonts w:ascii="Lexend Light" w:eastAsia="Lexend Light" w:hAnsi="Lexend Light" w:cs="Lexend Light"/>
          <w:sz w:val="20"/>
          <w:szCs w:val="20"/>
        </w:rPr>
      </w:pPr>
    </w:p>
    <w:p w14:paraId="6FA046D8" w14:textId="77777777" w:rsidR="001A5F30" w:rsidRPr="001A5F30" w:rsidRDefault="001A5F30" w:rsidP="001A5F30">
      <w:pPr>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Se seleccionó como gastos elegibles:</w:t>
      </w:r>
    </w:p>
    <w:p w14:paraId="72CAAD20" w14:textId="77777777" w:rsidR="001A5F30" w:rsidRPr="001A5F30" w:rsidRDefault="001A5F30" w:rsidP="001A5F30">
      <w:pPr>
        <w:spacing w:line="240" w:lineRule="auto"/>
        <w:jc w:val="both"/>
        <w:rPr>
          <w:rFonts w:ascii="Lexend Light" w:eastAsia="Lexend Light" w:hAnsi="Lexend Light" w:cs="Lexend Light"/>
          <w:sz w:val="20"/>
          <w:szCs w:val="20"/>
        </w:rPr>
      </w:pPr>
    </w:p>
    <w:p w14:paraId="64608AC0" w14:textId="77777777" w:rsidR="001A5F30" w:rsidRPr="001A5F30" w:rsidRDefault="001A5F30" w:rsidP="001A5F30">
      <w:pPr>
        <w:numPr>
          <w:ilvl w:val="0"/>
          <w:numId w:val="6"/>
        </w:numPr>
        <w:pBdr>
          <w:top w:val="nil"/>
          <w:left w:val="nil"/>
          <w:bottom w:val="nil"/>
          <w:right w:val="nil"/>
          <w:between w:val="nil"/>
        </w:pBd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Artículo 15. Telefonía.  Las entidades y organismos del orden distrital se abstendrán de renovar o adquirir teléfonos celulares y planes de telefonía móvil, internet y datos para los servidores públicos de cualquier nivel y desmontarán los planes o servicios que tengan contratados. Se exceptúan de este mandato aquellos destinados para la prestación del servicio de atención al ciudadano, seguridad y actividades de inteligencia y contrainteligencia a cargo de las autoridades que ejercen estas funciones, sin que esta asignación pueda tener un carácter permanente.</w:t>
      </w:r>
    </w:p>
    <w:p w14:paraId="66B7D7C4" w14:textId="77777777" w:rsidR="001A5F30" w:rsidRPr="001A5F30" w:rsidRDefault="001A5F30" w:rsidP="001A5F30">
      <w:pPr>
        <w:pBdr>
          <w:top w:val="nil"/>
          <w:left w:val="nil"/>
          <w:bottom w:val="nil"/>
          <w:right w:val="nil"/>
          <w:between w:val="nil"/>
        </w:pBdr>
        <w:spacing w:line="240" w:lineRule="auto"/>
        <w:ind w:left="1440"/>
        <w:contextualSpacing/>
        <w:jc w:val="both"/>
        <w:rPr>
          <w:rFonts w:ascii="Lexend Light" w:eastAsia="Lexend Light" w:hAnsi="Lexend Light" w:cs="Lexend Light"/>
          <w:sz w:val="20"/>
          <w:szCs w:val="20"/>
        </w:rPr>
      </w:pPr>
    </w:p>
    <w:p w14:paraId="35DD693F" w14:textId="77777777" w:rsidR="001A5F30" w:rsidRPr="001A5F30" w:rsidRDefault="001A5F30" w:rsidP="001A5F30">
      <w:pPr>
        <w:numPr>
          <w:ilvl w:val="0"/>
          <w:numId w:val="5"/>
        </w:numPr>
        <w:pBdr>
          <w:top w:val="nil"/>
          <w:left w:val="nil"/>
          <w:bottom w:val="nil"/>
          <w:right w:val="nil"/>
          <w:between w:val="nil"/>
        </w:pBdr>
        <w:spacing w:after="160" w:line="240" w:lineRule="auto"/>
        <w:contextualSpacing/>
        <w:jc w:val="both"/>
        <w:rPr>
          <w:rFonts w:ascii="Lexend Light" w:eastAsia="Lexend Light" w:hAnsi="Lexend Light" w:cs="Lexend Light"/>
          <w:sz w:val="20"/>
          <w:szCs w:val="20"/>
        </w:rPr>
      </w:pPr>
      <w:proofErr w:type="gramStart"/>
      <w:r w:rsidRPr="001A5F30">
        <w:rPr>
          <w:rFonts w:ascii="Lexend Light" w:eastAsia="Lexend Light" w:hAnsi="Lexend Light" w:cs="Lexend Light"/>
          <w:sz w:val="20"/>
          <w:szCs w:val="20"/>
        </w:rPr>
        <w:t>Rubros a afectar</w:t>
      </w:r>
      <w:proofErr w:type="gramEnd"/>
      <w:r w:rsidRPr="001A5F30">
        <w:rPr>
          <w:rFonts w:ascii="Lexend Light" w:eastAsia="Lexend Light" w:hAnsi="Lexend Light" w:cs="Lexend Light"/>
          <w:sz w:val="20"/>
          <w:szCs w:val="20"/>
        </w:rPr>
        <w:t>:  O21202020080484131 - Servicios móviles de voz</w:t>
      </w:r>
    </w:p>
    <w:p w14:paraId="0A1B7713" w14:textId="77777777" w:rsidR="001A5F30" w:rsidRPr="001A5F30" w:rsidRDefault="001A5F30" w:rsidP="001A5F30">
      <w:pPr>
        <w:pBdr>
          <w:top w:val="nil"/>
          <w:left w:val="nil"/>
          <w:bottom w:val="nil"/>
          <w:right w:val="nil"/>
          <w:between w:val="nil"/>
        </w:pBdr>
        <w:spacing w:line="240" w:lineRule="auto"/>
        <w:jc w:val="both"/>
        <w:rPr>
          <w:rFonts w:ascii="Lexend Light" w:eastAsia="Lexend Light" w:hAnsi="Lexend Light" w:cs="Lexend Light"/>
          <w:sz w:val="20"/>
          <w:szCs w:val="20"/>
        </w:rPr>
      </w:pPr>
    </w:p>
    <w:p w14:paraId="5AB3B791" w14:textId="77777777" w:rsidR="001A5F30" w:rsidRPr="001A5F30" w:rsidRDefault="001A5F30" w:rsidP="001A5F30">
      <w:pPr>
        <w:pBdr>
          <w:top w:val="nil"/>
          <w:left w:val="nil"/>
          <w:bottom w:val="nil"/>
          <w:right w:val="nil"/>
          <w:between w:val="nil"/>
        </w:pBdr>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Para la vigencia 2025, en lo relacionado con la telefonía móvil, se realizará la reducción de por lo menos el 10% del valor total facturado en 2024, y de manera progresiva para llegar a un ahorro del 30% en el 2027 tomando como línea base los siguientes datos: Valor facturado 2024:  $2.276. 826 Fuente: Reporte SAP</w:t>
      </w:r>
    </w:p>
    <w:p w14:paraId="3B962133" w14:textId="77777777" w:rsidR="001A5F30" w:rsidRPr="001A5F30" w:rsidRDefault="001A5F30" w:rsidP="001A5F30">
      <w:pPr>
        <w:spacing w:line="240" w:lineRule="auto"/>
        <w:ind w:left="720"/>
        <w:contextualSpacing/>
        <w:jc w:val="both"/>
        <w:rPr>
          <w:rFonts w:ascii="Lexend Light" w:eastAsia="Lexend Light" w:hAnsi="Lexend Light" w:cs="Lexend Light"/>
          <w:sz w:val="20"/>
          <w:szCs w:val="20"/>
        </w:rPr>
      </w:pPr>
    </w:p>
    <w:p w14:paraId="09846E1C" w14:textId="77777777" w:rsidR="001A5F30" w:rsidRPr="001A5F30" w:rsidRDefault="001A5F30" w:rsidP="001A5F30">
      <w:pPr>
        <w:spacing w:line="240" w:lineRule="auto"/>
        <w:ind w:left="720"/>
        <w:contextualSpacing/>
        <w:jc w:val="both"/>
        <w:rPr>
          <w:rFonts w:ascii="Lexend Light" w:eastAsia="Lexend Light" w:hAnsi="Lexend Light" w:cs="Lexend Light"/>
          <w:sz w:val="20"/>
          <w:szCs w:val="20"/>
        </w:rPr>
      </w:pPr>
    </w:p>
    <w:p w14:paraId="3880CDB6" w14:textId="77777777" w:rsidR="001A5F30" w:rsidRPr="001A5F30" w:rsidRDefault="001A5F30" w:rsidP="001A5F30">
      <w:pPr>
        <w:numPr>
          <w:ilvl w:val="0"/>
          <w:numId w:val="6"/>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Artículo 20 -. Cajas menores el relacionado con el rubro de caja menor, a través de la reducción en un 10% anual de los gastos asociados a los siguientes rubros:</w:t>
      </w:r>
    </w:p>
    <w:p w14:paraId="40609908" w14:textId="77777777" w:rsidR="001A5F30" w:rsidRPr="001A5F30" w:rsidRDefault="001A5F30" w:rsidP="001A5F30">
      <w:pPr>
        <w:spacing w:line="240" w:lineRule="auto"/>
        <w:jc w:val="both"/>
        <w:rPr>
          <w:rFonts w:ascii="Lexend Light" w:eastAsia="Lexend Light" w:hAnsi="Lexend Light" w:cs="Lexend Light"/>
          <w:sz w:val="20"/>
          <w:szCs w:val="20"/>
        </w:rPr>
      </w:pPr>
    </w:p>
    <w:p w14:paraId="54DBA08C" w14:textId="77777777" w:rsidR="001A5F30" w:rsidRPr="001A5F30" w:rsidRDefault="001A5F30" w:rsidP="001A5F30">
      <w:pPr>
        <w:spacing w:line="240" w:lineRule="auto"/>
        <w:jc w:val="both"/>
        <w:rPr>
          <w:rFonts w:ascii="Lexend Light" w:eastAsia="Lexend Light" w:hAnsi="Lexend Light" w:cs="Lexend Light"/>
          <w:sz w:val="20"/>
          <w:szCs w:val="20"/>
        </w:rPr>
      </w:pPr>
      <w:proofErr w:type="gramStart"/>
      <w:r w:rsidRPr="001A5F30">
        <w:rPr>
          <w:rFonts w:ascii="Lexend Light" w:eastAsia="Lexend Light" w:hAnsi="Lexend Light" w:cs="Lexend Light"/>
          <w:sz w:val="20"/>
          <w:szCs w:val="20"/>
        </w:rPr>
        <w:t>Rubros a afectar</w:t>
      </w:r>
      <w:proofErr w:type="gramEnd"/>
      <w:r w:rsidRPr="001A5F30">
        <w:rPr>
          <w:rFonts w:ascii="Lexend Light" w:eastAsia="Lexend Light" w:hAnsi="Lexend Light" w:cs="Lexend Light"/>
          <w:sz w:val="20"/>
          <w:szCs w:val="20"/>
        </w:rPr>
        <w:t xml:space="preserve">:  </w:t>
      </w:r>
    </w:p>
    <w:p w14:paraId="08AAF022" w14:textId="77777777" w:rsidR="001A5F30" w:rsidRPr="001A5F30" w:rsidRDefault="001A5F30" w:rsidP="001A5F30">
      <w:pPr>
        <w:spacing w:line="240" w:lineRule="auto"/>
        <w:jc w:val="both"/>
        <w:rPr>
          <w:rFonts w:ascii="Lexend Light" w:eastAsia="Lexend Light" w:hAnsi="Lexend Light" w:cs="Lexend Light"/>
          <w:sz w:val="20"/>
          <w:szCs w:val="20"/>
        </w:rPr>
      </w:pPr>
    </w:p>
    <w:p w14:paraId="20CAF097"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O2120201002032314014 - Pastas o pellets a base de cereales para pasabocas</w:t>
      </w:r>
    </w:p>
    <w:p w14:paraId="247C9917"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O2120201003023211101 - Pulpa química de madera soluble</w:t>
      </w:r>
    </w:p>
    <w:p w14:paraId="5B09BEBA"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O21202020080282130 - Servicios de documentación y certificación jurídica</w:t>
      </w:r>
    </w:p>
    <w:p w14:paraId="1FE6C854"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O21202020060464112 - Servicios de transporte terrestre local regular de pasajeros</w:t>
      </w:r>
    </w:p>
    <w:p w14:paraId="73A0016C"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O21202020080585330 - Servicios de limpieza general</w:t>
      </w:r>
    </w:p>
    <w:p w14:paraId="5C63944E"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O2120202008098912101 - Servicios de impresión litográfica en hojalata</w:t>
      </w:r>
    </w:p>
    <w:p w14:paraId="733D48C7"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O2120201003063699061 - Figuras decorativas y artísticas de material plástico</w:t>
      </w:r>
    </w:p>
    <w:p w14:paraId="111DEF56"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O2120201004024299991 - Artículos </w:t>
      </w:r>
      <w:proofErr w:type="spellStart"/>
      <w:r w:rsidRPr="001A5F30">
        <w:rPr>
          <w:rFonts w:ascii="Lexend Light" w:eastAsia="Lexend Light" w:hAnsi="Lexend Light" w:cs="Lexend Light"/>
          <w:sz w:val="20"/>
          <w:szCs w:val="20"/>
        </w:rPr>
        <w:t>n.c.p</w:t>
      </w:r>
      <w:proofErr w:type="spellEnd"/>
      <w:r w:rsidRPr="001A5F30">
        <w:rPr>
          <w:rFonts w:ascii="Lexend Light" w:eastAsia="Lexend Light" w:hAnsi="Lexend Light" w:cs="Lexend Light"/>
          <w:sz w:val="20"/>
          <w:szCs w:val="20"/>
        </w:rPr>
        <w:t xml:space="preserve">. de ferretería y cerrajería </w:t>
      </w:r>
    </w:p>
    <w:p w14:paraId="44735F3A"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O2120201004064693998 - Aparatos eléctricos </w:t>
      </w:r>
      <w:proofErr w:type="spellStart"/>
      <w:r w:rsidRPr="001A5F30">
        <w:rPr>
          <w:rFonts w:ascii="Lexend Light" w:eastAsia="Lexend Light" w:hAnsi="Lexend Light" w:cs="Lexend Light"/>
          <w:sz w:val="20"/>
          <w:szCs w:val="20"/>
        </w:rPr>
        <w:t>n.c.p</w:t>
      </w:r>
      <w:proofErr w:type="spellEnd"/>
      <w:r w:rsidRPr="001A5F30">
        <w:rPr>
          <w:rFonts w:ascii="Lexend Light" w:eastAsia="Lexend Light" w:hAnsi="Lexend Light" w:cs="Lexend Light"/>
          <w:sz w:val="20"/>
          <w:szCs w:val="20"/>
        </w:rPr>
        <w:t xml:space="preserve">. </w:t>
      </w:r>
    </w:p>
    <w:p w14:paraId="19191BA0" w14:textId="77777777" w:rsidR="001A5F30" w:rsidRPr="001A5F30" w:rsidRDefault="001A5F30" w:rsidP="001A5F30">
      <w:pPr>
        <w:numPr>
          <w:ilvl w:val="0"/>
          <w:numId w:val="3"/>
        </w:numPr>
        <w:spacing w:after="160" w:line="240" w:lineRule="auto"/>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O2120202008078715299 - Otros servicios de mantenimiento y reparación de maquinaria y aparatos eléctricos </w:t>
      </w:r>
      <w:proofErr w:type="spellStart"/>
      <w:r w:rsidRPr="001A5F30">
        <w:rPr>
          <w:rFonts w:ascii="Lexend Light" w:eastAsia="Lexend Light" w:hAnsi="Lexend Light" w:cs="Lexend Light"/>
          <w:sz w:val="20"/>
          <w:szCs w:val="20"/>
        </w:rPr>
        <w:t>n.c.p</w:t>
      </w:r>
      <w:proofErr w:type="spellEnd"/>
      <w:r w:rsidRPr="001A5F30">
        <w:rPr>
          <w:rFonts w:ascii="Lexend Light" w:eastAsia="Lexend Light" w:hAnsi="Lexend Light" w:cs="Lexend Light"/>
          <w:sz w:val="20"/>
          <w:szCs w:val="20"/>
        </w:rPr>
        <w:t>.</w:t>
      </w:r>
    </w:p>
    <w:p w14:paraId="73457DA6" w14:textId="77777777" w:rsidR="001A5F30" w:rsidRPr="001A5F30" w:rsidRDefault="001A5F30" w:rsidP="001A5F30">
      <w:pPr>
        <w:pBdr>
          <w:top w:val="nil"/>
          <w:left w:val="nil"/>
          <w:bottom w:val="nil"/>
          <w:right w:val="nil"/>
          <w:between w:val="nil"/>
        </w:pBdr>
        <w:spacing w:line="240" w:lineRule="auto"/>
        <w:jc w:val="both"/>
        <w:rPr>
          <w:rFonts w:ascii="Lexend Light" w:eastAsia="Lexend Light" w:hAnsi="Lexend Light" w:cs="Lexend Light"/>
          <w:sz w:val="20"/>
          <w:szCs w:val="20"/>
        </w:rPr>
      </w:pPr>
    </w:p>
    <w:p w14:paraId="4BF22FCE" w14:textId="77777777" w:rsidR="001A5F30" w:rsidRPr="001A5F30" w:rsidRDefault="001A5F30" w:rsidP="001A5F30">
      <w:pPr>
        <w:pBdr>
          <w:top w:val="nil"/>
          <w:left w:val="nil"/>
          <w:bottom w:val="nil"/>
          <w:right w:val="nil"/>
          <w:between w:val="nil"/>
        </w:pBdr>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Para la vigencia 2025 la entidad definió como meta: Reducir en un 10% anual los gastos asociados a los rubros de caja menor a través de estrategias de optimización de los recursos y los trámites y de manera progresiva para llegar a un ahorro del 20% en el 2027.</w:t>
      </w:r>
    </w:p>
    <w:p w14:paraId="2520DE42" w14:textId="77777777" w:rsidR="001A5F30" w:rsidRPr="001A5F30" w:rsidRDefault="001A5F30" w:rsidP="001A5F30">
      <w:pPr>
        <w:pBdr>
          <w:top w:val="nil"/>
          <w:left w:val="nil"/>
          <w:bottom w:val="nil"/>
          <w:right w:val="nil"/>
          <w:between w:val="nil"/>
        </w:pBdr>
        <w:spacing w:line="240" w:lineRule="auto"/>
        <w:jc w:val="both"/>
        <w:rPr>
          <w:rFonts w:ascii="Lexend Light" w:eastAsia="Lexend Light" w:hAnsi="Lexend Light" w:cs="Lexend Light"/>
          <w:sz w:val="20"/>
          <w:szCs w:val="20"/>
        </w:rPr>
      </w:pPr>
    </w:p>
    <w:p w14:paraId="78FB5D72" w14:textId="77777777" w:rsidR="001A5F30" w:rsidRPr="001A5F30" w:rsidRDefault="001A5F30" w:rsidP="001A5F30">
      <w:pPr>
        <w:pBdr>
          <w:top w:val="nil"/>
          <w:left w:val="nil"/>
          <w:bottom w:val="nil"/>
          <w:right w:val="nil"/>
          <w:between w:val="nil"/>
        </w:pBdr>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Como línea base se estableció que será el presupuesto asignado para “Caja menor” en la vigencia 2024 el cual asciende a la suma de $ 9.000.000 dando cumplimiento a lo establecido en el Decreto 192 de 2021 “FUNCIONAMIENTO DE LAS CAJAS MENORES Y LOS AVANCES EN EFECTIVO”, manual para el manejo y control contable de cajas menores y demás normas que rigen la materia </w:t>
      </w:r>
    </w:p>
    <w:p w14:paraId="5E3CC597" w14:textId="77777777" w:rsidR="001A5F30" w:rsidRPr="001A5F30" w:rsidRDefault="001A5F30" w:rsidP="001A5F30">
      <w:pPr>
        <w:pBdr>
          <w:top w:val="nil"/>
          <w:left w:val="nil"/>
          <w:bottom w:val="nil"/>
          <w:right w:val="nil"/>
          <w:between w:val="nil"/>
        </w:pBdr>
        <w:spacing w:line="240" w:lineRule="auto"/>
        <w:jc w:val="both"/>
        <w:rPr>
          <w:rFonts w:ascii="Lexend Light" w:eastAsia="Lexend Light" w:hAnsi="Lexend Light" w:cs="Lexend Light"/>
          <w:sz w:val="20"/>
          <w:szCs w:val="20"/>
        </w:rPr>
      </w:pPr>
    </w:p>
    <w:p w14:paraId="5C751057" w14:textId="77777777" w:rsidR="001A5F30" w:rsidRPr="001A5F30" w:rsidRDefault="001A5F30" w:rsidP="001A5F30">
      <w:pPr>
        <w:pBdr>
          <w:top w:val="nil"/>
          <w:left w:val="nil"/>
          <w:bottom w:val="nil"/>
          <w:right w:val="nil"/>
          <w:between w:val="nil"/>
        </w:pBdr>
        <w:spacing w:line="240" w:lineRule="auto"/>
        <w:ind w:left="720"/>
        <w:contextualSpacing/>
        <w:jc w:val="both"/>
        <w:rPr>
          <w:rFonts w:ascii="Lexend Light" w:eastAsia="Lexend Light" w:hAnsi="Lexend Light" w:cs="Lexend Light"/>
          <w:sz w:val="20"/>
          <w:szCs w:val="20"/>
        </w:rPr>
      </w:pPr>
    </w:p>
    <w:p w14:paraId="1200B552" w14:textId="77777777" w:rsidR="001A5F30" w:rsidRPr="001A5F30" w:rsidRDefault="001A5F30" w:rsidP="00230B04">
      <w:pPr>
        <w:rPr>
          <w:rFonts w:ascii="Oswald Medium" w:eastAsia="Oswald Medium" w:hAnsi="Oswald Medium" w:cs="Oswald Medium"/>
          <w:color w:val="674EA7"/>
          <w:sz w:val="40"/>
          <w:szCs w:val="40"/>
        </w:rPr>
      </w:pPr>
      <w:r w:rsidRPr="001A5F30">
        <w:rPr>
          <w:rFonts w:ascii="Oswald Medium" w:eastAsia="Oswald Medium" w:hAnsi="Oswald Medium" w:cs="Oswald Medium"/>
          <w:color w:val="674EA7"/>
          <w:sz w:val="40"/>
          <w:szCs w:val="40"/>
        </w:rPr>
        <w:lastRenderedPageBreak/>
        <w:t>PLAN DE ACCIÓN</w:t>
      </w:r>
    </w:p>
    <w:p w14:paraId="4038CADA"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5DCAF2A6"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Para los recursos de Caja Menor en la entidad, las acciones para el cumplimiento de la meta se basan en la generación de estrategias que permitan optimizar estos recursos a través de la revisión de cada uno de los rubros que la componen y la búsqueda de estrategias que mitiguen los riesgos que generen gastos contemplados en la Ley para el uso de la caja menor.</w:t>
      </w:r>
    </w:p>
    <w:p w14:paraId="4DCBA1E5"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180EB4FF"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Las acciones que se pretender adelantar con el fin de cumplir las metas propuestas son las siguientes:</w:t>
      </w:r>
    </w:p>
    <w:p w14:paraId="07425635"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16F1F23E" w14:textId="77777777" w:rsidR="001A5F30" w:rsidRPr="001A5F30" w:rsidRDefault="001A5F30" w:rsidP="001A5F30">
      <w:pPr>
        <w:numPr>
          <w:ilvl w:val="0"/>
          <w:numId w:val="7"/>
        </w:numPr>
        <w:autoSpaceDE w:val="0"/>
        <w:autoSpaceDN w:val="0"/>
        <w:adjustRightInd w:val="0"/>
        <w:spacing w:after="160" w:line="240" w:lineRule="auto"/>
        <w:ind w:left="720"/>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Verificar y realizar la verificación de los principios de economía y eficiencia que deben caracterizar las actuaciones de la administración.</w:t>
      </w:r>
    </w:p>
    <w:p w14:paraId="5AE6F6D5" w14:textId="77777777" w:rsidR="001A5F30" w:rsidRPr="001A5F30" w:rsidRDefault="001A5F30" w:rsidP="001A5F30">
      <w:pPr>
        <w:numPr>
          <w:ilvl w:val="0"/>
          <w:numId w:val="7"/>
        </w:numPr>
        <w:autoSpaceDE w:val="0"/>
        <w:autoSpaceDN w:val="0"/>
        <w:adjustRightInd w:val="0"/>
        <w:spacing w:after="160" w:line="240" w:lineRule="auto"/>
        <w:ind w:left="720"/>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Definir los gastos que tengan el carácter de urgentes, imprescindibles, imprevistos, necesarios e inaplazables para el buen funcionamiento de la Fundación Gilberto </w:t>
      </w:r>
      <w:proofErr w:type="spellStart"/>
      <w:r w:rsidRPr="001A5F30">
        <w:rPr>
          <w:rFonts w:ascii="Lexend Light" w:eastAsia="Lexend Light" w:hAnsi="Lexend Light" w:cs="Lexend Light"/>
          <w:sz w:val="20"/>
          <w:szCs w:val="20"/>
        </w:rPr>
        <w:t>Alzate</w:t>
      </w:r>
      <w:proofErr w:type="spellEnd"/>
      <w:r w:rsidRPr="001A5F30">
        <w:rPr>
          <w:rFonts w:ascii="Lexend Light" w:eastAsia="Lexend Light" w:hAnsi="Lexend Light" w:cs="Lexend Light"/>
          <w:sz w:val="20"/>
          <w:szCs w:val="20"/>
        </w:rPr>
        <w:t xml:space="preserve"> Avendaño, para constituir la caja menor para la vigencia 2025.</w:t>
      </w:r>
    </w:p>
    <w:p w14:paraId="69984010" w14:textId="77777777" w:rsidR="001A5F30" w:rsidRPr="001A5F30" w:rsidRDefault="001A5F30" w:rsidP="001A5F30">
      <w:pPr>
        <w:numPr>
          <w:ilvl w:val="0"/>
          <w:numId w:val="7"/>
        </w:numPr>
        <w:autoSpaceDE w:val="0"/>
        <w:autoSpaceDN w:val="0"/>
        <w:adjustRightInd w:val="0"/>
        <w:spacing w:after="160" w:line="240" w:lineRule="auto"/>
        <w:ind w:left="720"/>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Definir los rubros y cuantías que se imputarán a la caja menor.</w:t>
      </w:r>
    </w:p>
    <w:p w14:paraId="10DE9B3A" w14:textId="77777777" w:rsidR="001A5F30" w:rsidRPr="001A5F30" w:rsidRDefault="001A5F30" w:rsidP="001A5F30">
      <w:pPr>
        <w:numPr>
          <w:ilvl w:val="0"/>
          <w:numId w:val="7"/>
        </w:numPr>
        <w:autoSpaceDE w:val="0"/>
        <w:autoSpaceDN w:val="0"/>
        <w:adjustRightInd w:val="0"/>
        <w:spacing w:after="160" w:line="240" w:lineRule="auto"/>
        <w:ind w:left="720"/>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Delegar el responsable del manejo de la caja menor de la Fundación Gilberto </w:t>
      </w:r>
      <w:proofErr w:type="spellStart"/>
      <w:r w:rsidRPr="001A5F30">
        <w:rPr>
          <w:rFonts w:ascii="Lexend Light" w:eastAsia="Lexend Light" w:hAnsi="Lexend Light" w:cs="Lexend Light"/>
          <w:sz w:val="20"/>
          <w:szCs w:val="20"/>
        </w:rPr>
        <w:t>Alzate</w:t>
      </w:r>
      <w:proofErr w:type="spellEnd"/>
      <w:r w:rsidRPr="001A5F30">
        <w:rPr>
          <w:rFonts w:ascii="Lexend Light" w:eastAsia="Lexend Light" w:hAnsi="Lexend Light" w:cs="Lexend Light"/>
          <w:sz w:val="20"/>
          <w:szCs w:val="20"/>
        </w:rPr>
        <w:t>.</w:t>
      </w:r>
    </w:p>
    <w:p w14:paraId="46F5CBBF" w14:textId="77777777" w:rsidR="001A5F30" w:rsidRPr="001A5F30" w:rsidRDefault="001A5F30" w:rsidP="001A5F30">
      <w:pPr>
        <w:numPr>
          <w:ilvl w:val="0"/>
          <w:numId w:val="7"/>
        </w:numPr>
        <w:autoSpaceDE w:val="0"/>
        <w:autoSpaceDN w:val="0"/>
        <w:adjustRightInd w:val="0"/>
        <w:spacing w:after="160" w:line="240" w:lineRule="auto"/>
        <w:ind w:left="720"/>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Seguimiento mensual mediante informe de caja menor.</w:t>
      </w:r>
    </w:p>
    <w:p w14:paraId="5E9649C2" w14:textId="77777777" w:rsidR="001A5F30" w:rsidRPr="001A5F30" w:rsidRDefault="001A5F30" w:rsidP="001A5F30">
      <w:pPr>
        <w:autoSpaceDE w:val="0"/>
        <w:autoSpaceDN w:val="0"/>
        <w:adjustRightInd w:val="0"/>
        <w:spacing w:line="240" w:lineRule="auto"/>
        <w:ind w:left="360"/>
        <w:jc w:val="both"/>
        <w:rPr>
          <w:rFonts w:ascii="Lexend Light" w:eastAsia="Lexend Light" w:hAnsi="Lexend Light" w:cs="Lexend Light"/>
          <w:sz w:val="20"/>
          <w:szCs w:val="20"/>
        </w:rPr>
      </w:pPr>
    </w:p>
    <w:p w14:paraId="46987C7B"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En cuanto a la reducción de los costos de telefonía móvil se realizarán acciones encaminadas a reducir el valor de los planes y revisar las condiciones de estos para garantizar el mejor precio con las mejores garantías que permita dar cumplimiento a la meta de reducción a mediano plazo del 30%, iniciando en la vigencia 2025 con un ahorro del 10%, a saber:</w:t>
      </w:r>
    </w:p>
    <w:p w14:paraId="62EC4ED4"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1E98F42F"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Las acciones que se pretender adelantar con el fin de cumplir las metas propuestas son las siguientes:</w:t>
      </w:r>
    </w:p>
    <w:p w14:paraId="6CDC6864"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5E9DC2CE" w14:textId="77777777" w:rsidR="001A5F30" w:rsidRPr="001A5F30" w:rsidRDefault="001A5F30" w:rsidP="001A5F30">
      <w:pPr>
        <w:numPr>
          <w:ilvl w:val="0"/>
          <w:numId w:val="7"/>
        </w:numPr>
        <w:autoSpaceDE w:val="0"/>
        <w:autoSpaceDN w:val="0"/>
        <w:adjustRightInd w:val="0"/>
        <w:spacing w:after="160" w:line="240" w:lineRule="auto"/>
        <w:ind w:left="720"/>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Asignar a un profesional de apoyo desde la Subdirección de Gestión Corporativa para realizar un análisis de las condiciones actuales del servicio de telefonía móvil, donde se verifique el plan actual y los costos asociados al servicio.</w:t>
      </w:r>
    </w:p>
    <w:p w14:paraId="65474A0D"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7AF0C02B" w14:textId="77777777" w:rsidR="001A5F30" w:rsidRPr="001A5F30" w:rsidRDefault="001A5F30" w:rsidP="001A5F30">
      <w:pPr>
        <w:numPr>
          <w:ilvl w:val="0"/>
          <w:numId w:val="7"/>
        </w:numPr>
        <w:autoSpaceDE w:val="0"/>
        <w:autoSpaceDN w:val="0"/>
        <w:adjustRightInd w:val="0"/>
        <w:spacing w:after="160" w:line="240" w:lineRule="auto"/>
        <w:ind w:left="720"/>
        <w:contextualSpacing/>
        <w:jc w:val="both"/>
        <w:rPr>
          <w:rFonts w:ascii="Lexend Light" w:eastAsia="Lexend Light" w:hAnsi="Lexend Light" w:cs="Lexend Light"/>
          <w:sz w:val="20"/>
          <w:szCs w:val="20"/>
        </w:rPr>
      </w:pPr>
      <w:r w:rsidRPr="001A5F30">
        <w:rPr>
          <w:rFonts w:ascii="Lexend Light" w:eastAsia="Lexend Light" w:hAnsi="Lexend Light" w:cs="Lexend Light"/>
          <w:sz w:val="20"/>
          <w:szCs w:val="20"/>
        </w:rPr>
        <w:t>Realizar una solicitud formal al operador de telefonía móvil actual con el fin de evaluar la posibilidad de acceder a un plan más económico o que se aplique un descuento sobre el valor actual del servicio de los valores a pagar por parte de la FUGA, producto de análisis realizado por el profesional asignado.</w:t>
      </w:r>
    </w:p>
    <w:p w14:paraId="01091D99"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55C12051"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Proyección ahorro telefonía móvil</w:t>
      </w:r>
    </w:p>
    <w:p w14:paraId="6D01A3EF"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tbl>
      <w:tblPr>
        <w:tblStyle w:val="Tablaconcuadrcula"/>
        <w:tblW w:w="0" w:type="auto"/>
        <w:tblLook w:val="04A0" w:firstRow="1" w:lastRow="0" w:firstColumn="1" w:lastColumn="0" w:noHBand="0" w:noVBand="1"/>
      </w:tblPr>
      <w:tblGrid>
        <w:gridCol w:w="1261"/>
        <w:gridCol w:w="1267"/>
        <w:gridCol w:w="1283"/>
        <w:gridCol w:w="2143"/>
      </w:tblGrid>
      <w:tr w:rsidR="001A5F30" w:rsidRPr="001A5F30" w14:paraId="2F84E0FB" w14:textId="77777777" w:rsidTr="001A5F30">
        <w:trPr>
          <w:trHeight w:val="245"/>
        </w:trPr>
        <w:tc>
          <w:tcPr>
            <w:tcW w:w="0" w:type="auto"/>
            <w:shd w:val="clear" w:color="auto" w:fill="E7E6E6"/>
          </w:tcPr>
          <w:p w14:paraId="72FAEB54"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xml:space="preserve">VIGENCIA </w:t>
            </w:r>
          </w:p>
        </w:tc>
        <w:tc>
          <w:tcPr>
            <w:tcW w:w="0" w:type="auto"/>
            <w:shd w:val="clear" w:color="auto" w:fill="E7E6E6"/>
          </w:tcPr>
          <w:p w14:paraId="1F22D7C0"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%AHORRO</w:t>
            </w:r>
          </w:p>
        </w:tc>
        <w:tc>
          <w:tcPr>
            <w:tcW w:w="0" w:type="auto"/>
            <w:shd w:val="clear" w:color="auto" w:fill="E7E6E6"/>
          </w:tcPr>
          <w:p w14:paraId="16BB9953"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COSTO</w:t>
            </w:r>
          </w:p>
        </w:tc>
        <w:tc>
          <w:tcPr>
            <w:tcW w:w="0" w:type="auto"/>
            <w:shd w:val="clear" w:color="auto" w:fill="E7E6E6"/>
          </w:tcPr>
          <w:p w14:paraId="35F5BDF3"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VALOR AHORRADO</w:t>
            </w:r>
          </w:p>
        </w:tc>
      </w:tr>
      <w:tr w:rsidR="001A5F30" w:rsidRPr="001A5F30" w14:paraId="7140EAAC" w14:textId="77777777" w:rsidTr="0064601B">
        <w:trPr>
          <w:trHeight w:val="245"/>
        </w:trPr>
        <w:tc>
          <w:tcPr>
            <w:tcW w:w="0" w:type="auto"/>
          </w:tcPr>
          <w:p w14:paraId="17B7BE86"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2024</w:t>
            </w:r>
          </w:p>
        </w:tc>
        <w:tc>
          <w:tcPr>
            <w:tcW w:w="0" w:type="auto"/>
          </w:tcPr>
          <w:p w14:paraId="7F14DD23"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0%</w:t>
            </w:r>
          </w:p>
        </w:tc>
        <w:tc>
          <w:tcPr>
            <w:tcW w:w="0" w:type="auto"/>
          </w:tcPr>
          <w:p w14:paraId="5E748C56"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$ 2.276.826</w:t>
            </w:r>
          </w:p>
        </w:tc>
        <w:tc>
          <w:tcPr>
            <w:tcW w:w="0" w:type="auto"/>
          </w:tcPr>
          <w:p w14:paraId="3838AC90"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p>
        </w:tc>
      </w:tr>
      <w:tr w:rsidR="001A5F30" w:rsidRPr="001A5F30" w14:paraId="6E0383A8" w14:textId="77777777" w:rsidTr="0064601B">
        <w:trPr>
          <w:trHeight w:val="245"/>
        </w:trPr>
        <w:tc>
          <w:tcPr>
            <w:tcW w:w="0" w:type="auto"/>
          </w:tcPr>
          <w:p w14:paraId="6277CAEF"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2025</w:t>
            </w:r>
          </w:p>
        </w:tc>
        <w:tc>
          <w:tcPr>
            <w:tcW w:w="0" w:type="auto"/>
          </w:tcPr>
          <w:p w14:paraId="28B115CE"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10%</w:t>
            </w:r>
          </w:p>
        </w:tc>
        <w:tc>
          <w:tcPr>
            <w:tcW w:w="0" w:type="auto"/>
          </w:tcPr>
          <w:p w14:paraId="2C9E57A7"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$ 2.049.143</w:t>
            </w:r>
          </w:p>
        </w:tc>
        <w:tc>
          <w:tcPr>
            <w:tcW w:w="0" w:type="auto"/>
          </w:tcPr>
          <w:p w14:paraId="51957703"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$ 227.683</w:t>
            </w:r>
          </w:p>
        </w:tc>
      </w:tr>
      <w:tr w:rsidR="001A5F30" w:rsidRPr="001A5F30" w14:paraId="04BEFEE1" w14:textId="77777777" w:rsidTr="0064601B">
        <w:trPr>
          <w:trHeight w:val="259"/>
        </w:trPr>
        <w:tc>
          <w:tcPr>
            <w:tcW w:w="0" w:type="auto"/>
          </w:tcPr>
          <w:p w14:paraId="17DEAE82"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2026</w:t>
            </w:r>
          </w:p>
        </w:tc>
        <w:tc>
          <w:tcPr>
            <w:tcW w:w="0" w:type="auto"/>
          </w:tcPr>
          <w:p w14:paraId="54D9690C"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w:t>
            </w:r>
          </w:p>
        </w:tc>
        <w:tc>
          <w:tcPr>
            <w:tcW w:w="0" w:type="auto"/>
          </w:tcPr>
          <w:p w14:paraId="339FD790"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$ 1.821.461</w:t>
            </w:r>
          </w:p>
        </w:tc>
        <w:tc>
          <w:tcPr>
            <w:tcW w:w="0" w:type="auto"/>
          </w:tcPr>
          <w:p w14:paraId="161D7FDD"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$ 445.365</w:t>
            </w:r>
          </w:p>
        </w:tc>
      </w:tr>
      <w:tr w:rsidR="001A5F30" w:rsidRPr="001A5F30" w14:paraId="0B5B09E8" w14:textId="77777777" w:rsidTr="0064601B">
        <w:trPr>
          <w:trHeight w:val="232"/>
        </w:trPr>
        <w:tc>
          <w:tcPr>
            <w:tcW w:w="0" w:type="auto"/>
          </w:tcPr>
          <w:p w14:paraId="2E44BD0E"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2027</w:t>
            </w:r>
          </w:p>
        </w:tc>
        <w:tc>
          <w:tcPr>
            <w:tcW w:w="0" w:type="auto"/>
          </w:tcPr>
          <w:p w14:paraId="1E158839"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30%</w:t>
            </w:r>
          </w:p>
        </w:tc>
        <w:tc>
          <w:tcPr>
            <w:tcW w:w="0" w:type="auto"/>
          </w:tcPr>
          <w:p w14:paraId="3B17A6C8"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$ 1.593.778</w:t>
            </w:r>
          </w:p>
        </w:tc>
        <w:tc>
          <w:tcPr>
            <w:tcW w:w="0" w:type="auto"/>
          </w:tcPr>
          <w:p w14:paraId="156629B7"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$ 683.048</w:t>
            </w:r>
          </w:p>
        </w:tc>
      </w:tr>
    </w:tbl>
    <w:p w14:paraId="3E97B424"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5CE69F05"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En cuanto a la reducción de los costos de caja menor se realizarán acciones encaminadas a la prevención y optimización de los recursos que permita que a mediano plazo se logre la reducción del 20% del presupuesto asignado para   este concepto, iniciando en la vigencia 2025 con un ahorro del 10%, a saber:</w:t>
      </w:r>
    </w:p>
    <w:p w14:paraId="166F69C5"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7079C580"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Proyección ahorro caja menor</w:t>
      </w:r>
    </w:p>
    <w:p w14:paraId="0A9AB90A"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tbl>
      <w:tblPr>
        <w:tblStyle w:val="Tablaconcuadrcula"/>
        <w:tblW w:w="0" w:type="auto"/>
        <w:tblLook w:val="04A0" w:firstRow="1" w:lastRow="0" w:firstColumn="1" w:lastColumn="0" w:noHBand="0" w:noVBand="1"/>
      </w:tblPr>
      <w:tblGrid>
        <w:gridCol w:w="1261"/>
        <w:gridCol w:w="1267"/>
        <w:gridCol w:w="2716"/>
        <w:gridCol w:w="2143"/>
      </w:tblGrid>
      <w:tr w:rsidR="001A5F30" w:rsidRPr="001A5F30" w14:paraId="1200DE7F" w14:textId="77777777" w:rsidTr="001A5F30">
        <w:trPr>
          <w:trHeight w:val="245"/>
        </w:trPr>
        <w:tc>
          <w:tcPr>
            <w:tcW w:w="0" w:type="auto"/>
            <w:shd w:val="clear" w:color="auto" w:fill="E7E6E6"/>
          </w:tcPr>
          <w:p w14:paraId="6CB959B8"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xml:space="preserve">VIGENCIA </w:t>
            </w:r>
          </w:p>
        </w:tc>
        <w:tc>
          <w:tcPr>
            <w:tcW w:w="0" w:type="auto"/>
            <w:shd w:val="clear" w:color="auto" w:fill="E7E6E6"/>
          </w:tcPr>
          <w:p w14:paraId="1DB3E4AD"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%AHORRO</w:t>
            </w:r>
          </w:p>
        </w:tc>
        <w:tc>
          <w:tcPr>
            <w:tcW w:w="0" w:type="auto"/>
            <w:shd w:val="clear" w:color="auto" w:fill="E7E6E6"/>
          </w:tcPr>
          <w:p w14:paraId="19588C01"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xml:space="preserve">VALOR PRESUPUESTADO </w:t>
            </w:r>
          </w:p>
        </w:tc>
        <w:tc>
          <w:tcPr>
            <w:tcW w:w="0" w:type="auto"/>
            <w:shd w:val="clear" w:color="auto" w:fill="E7E6E6"/>
          </w:tcPr>
          <w:p w14:paraId="74FFBCF4" w14:textId="77777777" w:rsidR="001A5F30" w:rsidRPr="001A5F30" w:rsidRDefault="001A5F30" w:rsidP="001A5F30">
            <w:pPr>
              <w:autoSpaceDE w:val="0"/>
              <w:autoSpaceDN w:val="0"/>
              <w:adjustRightInd w:val="0"/>
              <w:jc w:val="both"/>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VALOR AHORRADO</w:t>
            </w:r>
          </w:p>
        </w:tc>
      </w:tr>
      <w:tr w:rsidR="001A5F30" w:rsidRPr="001A5F30" w14:paraId="5C91A048" w14:textId="77777777" w:rsidTr="0064601B">
        <w:trPr>
          <w:trHeight w:val="245"/>
        </w:trPr>
        <w:tc>
          <w:tcPr>
            <w:tcW w:w="0" w:type="auto"/>
          </w:tcPr>
          <w:p w14:paraId="4664595F"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2024</w:t>
            </w:r>
          </w:p>
        </w:tc>
        <w:tc>
          <w:tcPr>
            <w:tcW w:w="0" w:type="auto"/>
          </w:tcPr>
          <w:p w14:paraId="12C563F0"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0%</w:t>
            </w:r>
          </w:p>
        </w:tc>
        <w:tc>
          <w:tcPr>
            <w:tcW w:w="0" w:type="auto"/>
          </w:tcPr>
          <w:p w14:paraId="39979A2C"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$ 9.000.000</w:t>
            </w:r>
          </w:p>
        </w:tc>
        <w:tc>
          <w:tcPr>
            <w:tcW w:w="0" w:type="auto"/>
          </w:tcPr>
          <w:p w14:paraId="0802555E"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w:t>
            </w:r>
          </w:p>
        </w:tc>
      </w:tr>
      <w:tr w:rsidR="001A5F30" w:rsidRPr="001A5F30" w14:paraId="1B245A0B" w14:textId="77777777" w:rsidTr="0064601B">
        <w:trPr>
          <w:trHeight w:val="245"/>
        </w:trPr>
        <w:tc>
          <w:tcPr>
            <w:tcW w:w="0" w:type="auto"/>
          </w:tcPr>
          <w:p w14:paraId="59BEDFA4"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2025</w:t>
            </w:r>
          </w:p>
        </w:tc>
        <w:tc>
          <w:tcPr>
            <w:tcW w:w="0" w:type="auto"/>
          </w:tcPr>
          <w:p w14:paraId="0A968F97"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10%</w:t>
            </w:r>
          </w:p>
        </w:tc>
        <w:tc>
          <w:tcPr>
            <w:tcW w:w="0" w:type="auto"/>
          </w:tcPr>
          <w:p w14:paraId="4D0F54BE"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$ 8.100.000</w:t>
            </w:r>
          </w:p>
        </w:tc>
        <w:tc>
          <w:tcPr>
            <w:tcW w:w="0" w:type="auto"/>
          </w:tcPr>
          <w:p w14:paraId="6032E266"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xml:space="preserve"> $ 900.000</w:t>
            </w:r>
          </w:p>
        </w:tc>
      </w:tr>
      <w:tr w:rsidR="001A5F30" w:rsidRPr="001A5F30" w14:paraId="26AA2B9E" w14:textId="77777777" w:rsidTr="0064601B">
        <w:trPr>
          <w:trHeight w:val="259"/>
        </w:trPr>
        <w:tc>
          <w:tcPr>
            <w:tcW w:w="0" w:type="auto"/>
          </w:tcPr>
          <w:p w14:paraId="5C9F1C8E"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lastRenderedPageBreak/>
              <w:t>2026</w:t>
            </w:r>
          </w:p>
        </w:tc>
        <w:tc>
          <w:tcPr>
            <w:tcW w:w="0" w:type="auto"/>
          </w:tcPr>
          <w:p w14:paraId="5F175524"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15%</w:t>
            </w:r>
          </w:p>
        </w:tc>
        <w:tc>
          <w:tcPr>
            <w:tcW w:w="0" w:type="auto"/>
          </w:tcPr>
          <w:p w14:paraId="1D2A32F4"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$ 7.650.000</w:t>
            </w:r>
          </w:p>
        </w:tc>
        <w:tc>
          <w:tcPr>
            <w:tcW w:w="0" w:type="auto"/>
          </w:tcPr>
          <w:p w14:paraId="76F16B31"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$ 1.350.000</w:t>
            </w:r>
          </w:p>
        </w:tc>
      </w:tr>
      <w:tr w:rsidR="001A5F30" w:rsidRPr="001A5F30" w14:paraId="56EF9A77" w14:textId="77777777" w:rsidTr="0064601B">
        <w:trPr>
          <w:trHeight w:val="232"/>
        </w:trPr>
        <w:tc>
          <w:tcPr>
            <w:tcW w:w="0" w:type="auto"/>
          </w:tcPr>
          <w:p w14:paraId="695806C4"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2027</w:t>
            </w:r>
          </w:p>
        </w:tc>
        <w:tc>
          <w:tcPr>
            <w:tcW w:w="0" w:type="auto"/>
          </w:tcPr>
          <w:p w14:paraId="71087A25"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20%</w:t>
            </w:r>
          </w:p>
        </w:tc>
        <w:tc>
          <w:tcPr>
            <w:tcW w:w="0" w:type="auto"/>
          </w:tcPr>
          <w:p w14:paraId="6D42E1B0"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$ 7.200.000</w:t>
            </w:r>
          </w:p>
        </w:tc>
        <w:tc>
          <w:tcPr>
            <w:tcW w:w="0" w:type="auto"/>
          </w:tcPr>
          <w:p w14:paraId="39D90DB5" w14:textId="77777777" w:rsidR="001A5F30" w:rsidRPr="001A5F30" w:rsidRDefault="001A5F30" w:rsidP="001A5F30">
            <w:pPr>
              <w:autoSpaceDE w:val="0"/>
              <w:autoSpaceDN w:val="0"/>
              <w:adjustRightInd w:val="0"/>
              <w:jc w:val="center"/>
              <w:rPr>
                <w:rFonts w:ascii="Lexend Light" w:eastAsia="Lexend Light" w:hAnsi="Lexend Light" w:cs="Lexend Light"/>
                <w:sz w:val="20"/>
                <w:szCs w:val="20"/>
                <w:lang w:val="es"/>
              </w:rPr>
            </w:pPr>
            <w:r w:rsidRPr="001A5F30">
              <w:rPr>
                <w:rFonts w:ascii="Lexend Light" w:eastAsia="Lexend Light" w:hAnsi="Lexend Light" w:cs="Lexend Light"/>
                <w:sz w:val="20"/>
                <w:szCs w:val="20"/>
                <w:lang w:val="es"/>
              </w:rPr>
              <w:t>$ 1.800.000</w:t>
            </w:r>
          </w:p>
        </w:tc>
      </w:tr>
    </w:tbl>
    <w:p w14:paraId="4105AC89"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11B8CD6D"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Lo anterior sin perjuicio que la entidad decida implementar otros mecanismos de austeridad y se realice el seguimiento a lo establecido em el Decreto Distrital 062 de 2024 y demás normas vigentes en materia de austeridad aplicables </w:t>
      </w:r>
      <w:proofErr w:type="spellStart"/>
      <w:r w:rsidRPr="001A5F30">
        <w:rPr>
          <w:rFonts w:ascii="Lexend Light" w:eastAsia="Lexend Light" w:hAnsi="Lexend Light" w:cs="Lexend Light"/>
          <w:sz w:val="20"/>
          <w:szCs w:val="20"/>
        </w:rPr>
        <w:t>ala</w:t>
      </w:r>
      <w:proofErr w:type="spellEnd"/>
      <w:r w:rsidRPr="001A5F30">
        <w:rPr>
          <w:rFonts w:ascii="Lexend Light" w:eastAsia="Lexend Light" w:hAnsi="Lexend Light" w:cs="Lexend Light"/>
          <w:sz w:val="20"/>
          <w:szCs w:val="20"/>
        </w:rPr>
        <w:t xml:space="preserve"> FUGA, o aquellas que las modifique o deroguen.</w:t>
      </w:r>
    </w:p>
    <w:p w14:paraId="79AD9746"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13915FFA" w14:textId="77777777" w:rsidR="001A5F30" w:rsidRPr="001A5F30" w:rsidRDefault="001A5F30" w:rsidP="001A5F30">
      <w:pPr>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Las acciones previstas en el marco del PLAN DE AUSTERIDAD DEL GASTO PÚBLICO, serán lideradas por la Subdirección de Gestión Corporativa, las cuales se articularán con los demás procesos de la FUGA, con el fin de dar cumplimiento a lo establecido por la entidad.</w:t>
      </w:r>
    </w:p>
    <w:p w14:paraId="4B1BC3ED"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0338273B"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1C45A487" w14:textId="77777777" w:rsidR="001A5F30" w:rsidRPr="001A5F30" w:rsidRDefault="001A5F30" w:rsidP="00CD0696">
      <w:pPr>
        <w:pStyle w:val="Ttulo2"/>
      </w:pPr>
      <w:r w:rsidRPr="001A5F30">
        <w:t>INDICADORES</w:t>
      </w:r>
    </w:p>
    <w:p w14:paraId="36C59B53"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55E4862F"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El indicador de austeridad es el porcentaje de ahorro del gasto que se obtiene en un período (t) con respecto a un período (t-1) y que concierne a los gastos elegibles definidos en el Plan de Austeridad. Esto resulta de la aplicación de la siguiente fórmula:</w:t>
      </w:r>
    </w:p>
    <w:p w14:paraId="3AFC9A68"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07BC5FC0"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Se establecen los siguientes indicadores de cumplimiento y ahorro:</w:t>
      </w:r>
    </w:p>
    <w:p w14:paraId="60B205AA"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p>
    <w:p w14:paraId="28903E73"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Indicador de ahorro</w:t>
      </w:r>
    </w:p>
    <w:p w14:paraId="40B886A3"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drawing>
          <wp:inline distT="0" distB="0" distL="0" distR="0" wp14:anchorId="1188FCC3" wp14:editId="4F558AAC">
            <wp:extent cx="2217420" cy="563880"/>
            <wp:effectExtent l="0" t="0" r="0" b="7620"/>
            <wp:docPr id="6" name="Imagen 6" descr="https://lh7-rt.googleusercontent.com/docsz/AD_4nXdXIHZiQ3fWJG0_4XUoHg6c81mpa34p8NhBiF1dzOZrsUHcDKX1wufEACRyv_wwj147fo_eV0l2DWyqpvXMEoiQ2H2NNqGHQeAqp3_JJbhxlx40u2rDwuRBz28mHhdZrSJMN0GUmySJlsiNTLEfctcQ5Pg?key=3jWWEuLVIgCPOh46gwQ8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XIHZiQ3fWJG0_4XUoHg6c81mpa34p8NhBiF1dzOZrsUHcDKX1wufEACRyv_wwj147fo_eV0l2DWyqpvXMEoiQ2H2NNqGHQeAqp3_JJbhxlx40u2rDwuRBz28mHhdZrSJMN0GUmySJlsiNTLEfctcQ5Pg?key=3jWWEuLVIgCPOh46gwQ8w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7420" cy="563880"/>
                    </a:xfrm>
                    <a:prstGeom prst="rect">
                      <a:avLst/>
                    </a:prstGeom>
                    <a:noFill/>
                    <a:ln>
                      <a:noFill/>
                    </a:ln>
                  </pic:spPr>
                </pic:pic>
              </a:graphicData>
            </a:graphic>
          </wp:inline>
        </w:drawing>
      </w:r>
    </w:p>
    <w:p w14:paraId="0211F249"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IAt= Porcentaje de ahorro</w:t>
      </w:r>
    </w:p>
    <w:p w14:paraId="0588908C"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GE t= Valor total de Gastos elegibles girado</w:t>
      </w:r>
    </w:p>
    <w:p w14:paraId="631DFCE9" w14:textId="77777777" w:rsidR="001A5F30" w:rsidRPr="001A5F30" w:rsidRDefault="001A5F30" w:rsidP="001A5F30">
      <w:pPr>
        <w:autoSpaceDE w:val="0"/>
        <w:autoSpaceDN w:val="0"/>
        <w:adjustRightInd w:val="0"/>
        <w:spacing w:line="240" w:lineRule="auto"/>
        <w:jc w:val="both"/>
        <w:rPr>
          <w:rFonts w:ascii="Lexend Light" w:eastAsia="Lexend Light" w:hAnsi="Lexend Light" w:cs="Lexend Light"/>
          <w:sz w:val="20"/>
          <w:szCs w:val="20"/>
        </w:rPr>
      </w:pPr>
      <w:r w:rsidRPr="001A5F30">
        <w:rPr>
          <w:rFonts w:ascii="Lexend Light" w:eastAsia="Lexend Light" w:hAnsi="Lexend Light" w:cs="Lexend Light"/>
          <w:sz w:val="20"/>
          <w:szCs w:val="20"/>
        </w:rPr>
        <w:t xml:space="preserve">GE t-1 = Valor total de Gastos elegibles según línea base </w:t>
      </w:r>
    </w:p>
    <w:p w14:paraId="107C745E" w14:textId="77777777" w:rsidR="001A5F30" w:rsidRPr="001A5F30" w:rsidRDefault="001A5F30" w:rsidP="001A5F30">
      <w:pPr>
        <w:autoSpaceDE w:val="0"/>
        <w:autoSpaceDN w:val="0"/>
        <w:adjustRightInd w:val="0"/>
        <w:spacing w:line="240" w:lineRule="auto"/>
        <w:jc w:val="both"/>
        <w:rPr>
          <w:rFonts w:ascii="Arial Narrow" w:eastAsia="Calibri" w:hAnsi="Arial Narrow" w:cs="DejaVuSans"/>
          <w:lang w:val="es-CO"/>
        </w:rPr>
      </w:pPr>
    </w:p>
    <w:p w14:paraId="432DDB9C" w14:textId="77777777" w:rsidR="004A4D5B" w:rsidRDefault="004A4D5B"/>
    <w:sectPr w:rsidR="004A4D5B">
      <w:headerReference w:type="default" r:id="rId9"/>
      <w:pgSz w:w="11909" w:h="16834"/>
      <w:pgMar w:top="1700" w:right="850" w:bottom="1700" w:left="850" w:header="720" w:footer="720" w:gutter="0"/>
      <w:pgNumType w:start="1"/>
      <w:cols w:space="720" w:equalWidth="0">
        <w:col w:w="1020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56554" w14:textId="77777777" w:rsidR="00AE465A" w:rsidRDefault="00AE465A">
      <w:pPr>
        <w:spacing w:line="240" w:lineRule="auto"/>
      </w:pPr>
      <w:r>
        <w:separator/>
      </w:r>
    </w:p>
  </w:endnote>
  <w:endnote w:type="continuationSeparator" w:id="0">
    <w:p w14:paraId="2F188390" w14:textId="77777777" w:rsidR="00AE465A" w:rsidRDefault="00AE46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32DD1EB-9F77-42B1-A1E6-145FE2DBEC76}"/>
    <w:embedBold r:id="rId2" w:fontKey="{BB6C7C3C-6272-415C-BA8A-01F6009557B0}"/>
  </w:font>
  <w:font w:name="Arial">
    <w:panose1 w:val="020B0604020202020204"/>
    <w:charset w:val="00"/>
    <w:family w:val="swiss"/>
    <w:pitch w:val="variable"/>
    <w:sig w:usb0="E0002EFF" w:usb1="C000785B" w:usb2="00000009" w:usb3="00000000" w:csb0="000001FF" w:csb1="00000000"/>
  </w:font>
  <w:font w:name="Oswald Medium">
    <w:charset w:val="00"/>
    <w:family w:val="auto"/>
    <w:pitch w:val="variable"/>
    <w:sig w:usb0="2000020F" w:usb1="00000000" w:usb2="00000000" w:usb3="00000000" w:csb0="00000197" w:csb1="00000000"/>
    <w:embedRegular r:id="rId3" w:fontKey="{E07E823D-6C29-48E7-BE88-95D9F0D58003}"/>
  </w:font>
  <w:font w:name="Oswald">
    <w:charset w:val="00"/>
    <w:family w:val="auto"/>
    <w:pitch w:val="variable"/>
    <w:sig w:usb0="2000020F" w:usb1="00000000" w:usb2="00000000" w:usb3="00000000" w:csb0="00000197" w:csb1="00000000"/>
    <w:embedBold r:id="rId4" w:fontKey="{7499A4EB-4DAB-4695-83F1-D217F1F983AA}"/>
  </w:font>
  <w:font w:name="Arial Narrow">
    <w:panose1 w:val="020B0606020202030204"/>
    <w:charset w:val="00"/>
    <w:family w:val="swiss"/>
    <w:pitch w:val="variable"/>
    <w:sig w:usb0="00000287" w:usb1="00000800" w:usb2="00000000" w:usb3="00000000" w:csb0="0000009F" w:csb1="00000000"/>
    <w:embedRegular r:id="rId5" w:fontKey="{CBB01B9A-C414-4CBD-A005-EA02827C6CC2}"/>
    <w:embedBold r:id="rId6" w:fontKey="{0B8C4DD8-F2CB-4D88-8EFC-4BDD997D43DF}"/>
  </w:font>
  <w:font w:name="DejaVuSans-Bold">
    <w:altName w:val="Calibri"/>
    <w:panose1 w:val="00000000000000000000"/>
    <w:charset w:val="00"/>
    <w:family w:val="auto"/>
    <w:notTrueType/>
    <w:pitch w:val="default"/>
    <w:sig w:usb0="00000003" w:usb1="00000000" w:usb2="00000000" w:usb3="00000000" w:csb0="00000001" w:csb1="00000000"/>
  </w:font>
  <w:font w:name="Lexend Light">
    <w:charset w:val="00"/>
    <w:family w:val="auto"/>
    <w:pitch w:val="default"/>
    <w:embedRegular r:id="rId7" w:fontKey="{A7F10F91-5017-4C61-B611-91FACAF93028}"/>
  </w:font>
  <w:font w:name="DejaVuSans">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1B632055-5AF2-4C33-BACE-A1EEDD594E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33AFF" w14:textId="77777777" w:rsidR="00AE465A" w:rsidRDefault="00AE465A">
      <w:pPr>
        <w:spacing w:line="240" w:lineRule="auto"/>
      </w:pPr>
      <w:r>
        <w:separator/>
      </w:r>
    </w:p>
  </w:footnote>
  <w:footnote w:type="continuationSeparator" w:id="0">
    <w:p w14:paraId="081DFFE5" w14:textId="77777777" w:rsidR="00AE465A" w:rsidRDefault="00AE46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DDBEA" w14:textId="77777777" w:rsidR="004A4D5B" w:rsidRDefault="00000000">
    <w:r>
      <w:pict w14:anchorId="432DDB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1.2pt;height:847.55pt;z-index:-251658752;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4901"/>
    <w:multiLevelType w:val="multilevel"/>
    <w:tmpl w:val="70D29D4E"/>
    <w:lvl w:ilvl="0">
      <w:numFmt w:val="decimal"/>
      <w:lvlText w:val=""/>
      <w:lvlJc w:val="left"/>
      <w:pPr>
        <w:ind w:left="0" w:firstLine="0"/>
      </w:pPr>
    </w:lvl>
    <w:lvl w:ilvl="1">
      <w:start w:val="1"/>
      <w:numFmt w:val="decimal"/>
      <w:lvlText w:val="%2."/>
      <w:lvlJc w:val="left"/>
      <w:pPr>
        <w:ind w:left="3479" w:hanging="360"/>
      </w:pPr>
      <w:rPr>
        <w:sz w:val="22"/>
        <w:szCs w:val="22"/>
      </w:rPr>
    </w:lvl>
    <w:lvl w:ilvl="2">
      <w:numFmt w:val="bullet"/>
      <w:lvlText w:val="•"/>
      <w:lvlJc w:val="left"/>
      <w:pPr>
        <w:ind w:left="5240" w:hanging="360"/>
      </w:pPr>
    </w:lvl>
    <w:lvl w:ilvl="3">
      <w:numFmt w:val="bullet"/>
      <w:lvlText w:val="•"/>
      <w:lvlJc w:val="left"/>
      <w:pPr>
        <w:ind w:left="5860" w:hanging="360"/>
      </w:pPr>
    </w:lvl>
    <w:lvl w:ilvl="4">
      <w:numFmt w:val="bullet"/>
      <w:lvlText w:val="•"/>
      <w:lvlJc w:val="left"/>
      <w:pPr>
        <w:ind w:left="6480" w:hanging="360"/>
      </w:pPr>
    </w:lvl>
    <w:lvl w:ilvl="5">
      <w:numFmt w:val="bullet"/>
      <w:lvlText w:val="•"/>
      <w:lvlJc w:val="left"/>
      <w:pPr>
        <w:ind w:left="7100" w:hanging="360"/>
      </w:pPr>
    </w:lvl>
    <w:lvl w:ilvl="6">
      <w:numFmt w:val="bullet"/>
      <w:lvlText w:val="•"/>
      <w:lvlJc w:val="left"/>
      <w:pPr>
        <w:ind w:left="7720" w:hanging="360"/>
      </w:pPr>
    </w:lvl>
    <w:lvl w:ilvl="7">
      <w:numFmt w:val="bullet"/>
      <w:lvlText w:val="•"/>
      <w:lvlJc w:val="left"/>
      <w:pPr>
        <w:ind w:left="8340" w:hanging="360"/>
      </w:pPr>
    </w:lvl>
    <w:lvl w:ilvl="8">
      <w:numFmt w:val="bullet"/>
      <w:lvlText w:val="•"/>
      <w:lvlJc w:val="left"/>
      <w:pPr>
        <w:ind w:left="8960" w:hanging="360"/>
      </w:pPr>
    </w:lvl>
  </w:abstractNum>
  <w:abstractNum w:abstractNumId="1" w15:restartNumberingAfterBreak="0">
    <w:nsid w:val="2686204B"/>
    <w:multiLevelType w:val="hybridMultilevel"/>
    <w:tmpl w:val="48AEBFE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70F23E2"/>
    <w:multiLevelType w:val="hybridMultilevel"/>
    <w:tmpl w:val="BB808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7E84DD7"/>
    <w:multiLevelType w:val="hybridMultilevel"/>
    <w:tmpl w:val="E62E16D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48F93284"/>
    <w:multiLevelType w:val="hybridMultilevel"/>
    <w:tmpl w:val="3CF292C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4DA02F98"/>
    <w:multiLevelType w:val="multilevel"/>
    <w:tmpl w:val="2B7E0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B46110"/>
    <w:multiLevelType w:val="hybridMultilevel"/>
    <w:tmpl w:val="8A1CE054"/>
    <w:lvl w:ilvl="0" w:tplc="F500A280">
      <w:start w:val="1"/>
      <w:numFmt w:val="lowerRoman"/>
      <w:lvlText w:val="%1."/>
      <w:lvlJc w:val="left"/>
      <w:pPr>
        <w:ind w:left="1440" w:hanging="720"/>
      </w:pPr>
      <w:rPr>
        <w:rFonts w:eastAsia="Calibri"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16cid:durableId="597758443">
    <w:abstractNumId w:val="0"/>
  </w:num>
  <w:num w:numId="2" w16cid:durableId="969096375">
    <w:abstractNumId w:val="5"/>
  </w:num>
  <w:num w:numId="3" w16cid:durableId="1633251579">
    <w:abstractNumId w:val="2"/>
  </w:num>
  <w:num w:numId="4" w16cid:durableId="86075408">
    <w:abstractNumId w:val="3"/>
  </w:num>
  <w:num w:numId="5" w16cid:durableId="700284740">
    <w:abstractNumId w:val="1"/>
  </w:num>
  <w:num w:numId="6" w16cid:durableId="1757676273">
    <w:abstractNumId w:val="6"/>
  </w:num>
  <w:num w:numId="7" w16cid:durableId="18543454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D5B"/>
    <w:rsid w:val="00174B5A"/>
    <w:rsid w:val="001A5F30"/>
    <w:rsid w:val="00230B04"/>
    <w:rsid w:val="004A4D5B"/>
    <w:rsid w:val="005570E6"/>
    <w:rsid w:val="005C7546"/>
    <w:rsid w:val="005D5CA5"/>
    <w:rsid w:val="00856038"/>
    <w:rsid w:val="00A00B05"/>
    <w:rsid w:val="00AE465A"/>
    <w:rsid w:val="00B413BB"/>
    <w:rsid w:val="00CD0696"/>
    <w:rsid w:val="00D56CB0"/>
    <w:rsid w:val="00F824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DDB84"/>
  <w15:docId w15:val="{5CF34C16-56BD-4BB2-A991-626C0B50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rPr>
      <w:color w:val="000000"/>
    </w:rPr>
    <w:tblPr>
      <w:tblStyleRowBandSize w:val="1"/>
      <w:tblStyleColBandSize w:val="1"/>
    </w:tblPr>
    <w:tblStylePr w:type="firstRow">
      <w:rPr>
        <w:b w:val="0"/>
        <w:bCs w:val="0"/>
        <w:i w:val="0"/>
        <w:iCs w:val="0"/>
      </w:rPr>
    </w:tblStylePr>
    <w:tblStylePr w:type="lastRow">
      <w:rPr>
        <w:b w:val="0"/>
        <w:bCs w:val="0"/>
        <w:i w:val="0"/>
        <w:iCs w:val="0"/>
      </w:rPr>
    </w:tblStylePr>
    <w:tblStylePr w:type="firstCol">
      <w:rPr>
        <w:b w:val="0"/>
        <w:bCs w:val="0"/>
        <w:i w:val="0"/>
        <w:iCs w:val="0"/>
      </w:rPr>
    </w:tblStylePr>
    <w:tblStylePr w:type="lastCol">
      <w:rPr>
        <w:b w:val="0"/>
        <w:bCs w:val="0"/>
        <w:i w:val="0"/>
        <w:iCs w:val="0"/>
      </w:rPr>
    </w:tblStylePr>
    <w:tblStylePr w:type="band1Vert">
      <w:rPr>
        <w:b w:val="0"/>
        <w:bCs w:val="0"/>
        <w:i w:val="0"/>
        <w:iCs w:val="0"/>
      </w:rPr>
    </w:tblStylePr>
    <w:tblStylePr w:type="band2Vert">
      <w:rPr>
        <w:b w:val="0"/>
        <w:bCs w:val="0"/>
        <w:i w:val="0"/>
        <w:iCs w:val="0"/>
      </w:rPr>
    </w:tblStylePr>
    <w:tblStylePr w:type="band1Horz">
      <w:rPr>
        <w:b w:val="0"/>
        <w:bCs w:val="0"/>
        <w:i w:val="0"/>
        <w:iCs w:val="0"/>
      </w:rPr>
    </w:tblStylePr>
    <w:tblStylePr w:type="band2Horz">
      <w:rPr>
        <w:b w:val="0"/>
        <w:bCs w:val="0"/>
        <w:i w:val="0"/>
        <w:iCs w:val="0"/>
      </w:rPr>
    </w:tblStylePr>
    <w:tblStylePr w:type="neCell">
      <w:rPr>
        <w:b w:val="0"/>
        <w:bCs w:val="0"/>
        <w:i w:val="0"/>
        <w:iCs w:val="0"/>
      </w:rPr>
    </w:tblStylePr>
    <w:tblStylePr w:type="nwCell">
      <w:rPr>
        <w:b w:val="0"/>
        <w:bCs w:val="0"/>
        <w:i w:val="0"/>
        <w:iCs w:val="0"/>
      </w:rPr>
    </w:tblStylePr>
    <w:tblStylePr w:type="seCell">
      <w:rPr>
        <w:b w:val="0"/>
        <w:bCs w:val="0"/>
        <w:i w:val="0"/>
        <w:iCs w:val="0"/>
      </w:rPr>
    </w:tblStylePr>
    <w:tblStylePr w:type="swCell">
      <w:rPr>
        <w:b w:val="0"/>
        <w:bCs w:val="0"/>
        <w:i w:val="0"/>
        <w:iCs w:val="0"/>
      </w:rPr>
    </w:tblStylePr>
  </w:style>
  <w:style w:type="table" w:styleId="Tablaconcuadrcula">
    <w:name w:val="Table Grid"/>
    <w:basedOn w:val="Tablanormal"/>
    <w:uiPriority w:val="39"/>
    <w:rsid w:val="001A5F30"/>
    <w:pPr>
      <w:spacing w:line="240" w:lineRule="auto"/>
    </w:pPr>
    <w:rPr>
      <w:rFonts w:ascii="Calibri" w:eastAsia="Calibri" w:hAnsi="Calibri" w:cs="Calibri"/>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1313</Words>
  <Characters>7226</Characters>
  <Application>Microsoft Office Word</Application>
  <DocSecurity>0</DocSecurity>
  <Lines>60</Lines>
  <Paragraphs>17</Paragraphs>
  <ScaleCrop>false</ScaleCrop>
  <Company/>
  <LinksUpToDate>false</LinksUpToDate>
  <CharactersWithSpaces>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Magda Rojas D</cp:lastModifiedBy>
  <cp:revision>10</cp:revision>
  <dcterms:created xsi:type="dcterms:W3CDTF">2026-01-19T14:33:00Z</dcterms:created>
  <dcterms:modified xsi:type="dcterms:W3CDTF">2026-01-26T05:30:00Z</dcterms:modified>
</cp:coreProperties>
</file>